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4B" w:rsidRPr="0094564B" w:rsidRDefault="0094564B" w:rsidP="0094564B">
      <w:pPr>
        <w:shd w:val="clear" w:color="auto" w:fill="FFFFFF"/>
        <w:ind w:left="10"/>
        <w:jc w:val="center"/>
        <w:rPr>
          <w:rFonts w:ascii="Times New Roman" w:hAnsi="Times New Roman" w:cs="Times New Roman"/>
          <w:b/>
          <w:sz w:val="22"/>
          <w:szCs w:val="22"/>
        </w:rPr>
      </w:pPr>
      <w:bookmarkStart w:id="0" w:name="_GoBack"/>
      <w:bookmarkEnd w:id="0"/>
    </w:p>
    <w:p w:rsidR="0094564B" w:rsidRPr="0094564B" w:rsidRDefault="0094564B" w:rsidP="0094564B">
      <w:pPr>
        <w:shd w:val="clear" w:color="auto" w:fill="FFFFFF"/>
        <w:ind w:left="10"/>
        <w:jc w:val="center"/>
        <w:rPr>
          <w:rFonts w:ascii="Times New Roman" w:hAnsi="Times New Roman" w:cs="Times New Roman"/>
          <w:b/>
          <w:sz w:val="22"/>
          <w:szCs w:val="22"/>
        </w:rPr>
      </w:pPr>
    </w:p>
    <w:p w:rsidR="0094564B" w:rsidRPr="0094564B" w:rsidRDefault="0094564B" w:rsidP="0094564B">
      <w:pPr>
        <w:shd w:val="clear" w:color="auto" w:fill="FFFFFF"/>
        <w:ind w:left="10"/>
        <w:jc w:val="center"/>
        <w:rPr>
          <w:rFonts w:ascii="Times New Roman" w:hAnsi="Times New Roman" w:cs="Times New Roman"/>
          <w:b/>
          <w:sz w:val="22"/>
          <w:szCs w:val="22"/>
        </w:rPr>
      </w:pPr>
    </w:p>
    <w:p w:rsidR="004E24B0" w:rsidRPr="00716331" w:rsidRDefault="004E24B0" w:rsidP="004E24B0">
      <w:pPr>
        <w:jc w:val="center"/>
        <w:rPr>
          <w:rFonts w:ascii="Times New Roman" w:hAnsi="Times New Roman" w:cs="Times New Roman"/>
          <w:b/>
          <w:color w:val="0000FF"/>
          <w:sz w:val="28"/>
          <w:szCs w:val="22"/>
          <w:lang w:val="nb-NO"/>
        </w:rPr>
      </w:pPr>
      <w:r w:rsidRPr="00716331">
        <w:rPr>
          <w:rFonts w:ascii="Times New Roman" w:hAnsi="Times New Roman" w:cs="Times New Roman"/>
          <w:b/>
          <w:color w:val="0000FF"/>
          <w:sz w:val="28"/>
          <w:szCs w:val="22"/>
          <w:lang w:val="nb-NO"/>
        </w:rPr>
        <w:t>Evaluering og anbefalinger</w:t>
      </w:r>
    </w:p>
    <w:p w:rsidR="009C645B" w:rsidRPr="00716331" w:rsidRDefault="009C645B" w:rsidP="0094564B">
      <w:pPr>
        <w:shd w:val="clear" w:color="auto" w:fill="FFFFFF"/>
        <w:ind w:left="10"/>
        <w:jc w:val="center"/>
        <w:rPr>
          <w:rFonts w:ascii="Times New Roman" w:hAnsi="Times New Roman" w:cs="Times New Roman"/>
          <w:b/>
          <w:sz w:val="22"/>
          <w:szCs w:val="22"/>
          <w:lang w:val="nb-NO"/>
        </w:rPr>
      </w:pPr>
    </w:p>
    <w:p w:rsidR="0094564B" w:rsidRPr="00716331" w:rsidRDefault="0094564B" w:rsidP="0094564B">
      <w:pPr>
        <w:shd w:val="clear" w:color="auto" w:fill="FFFFFF"/>
        <w:ind w:left="24"/>
        <w:rPr>
          <w:rFonts w:ascii="Times New Roman" w:hAnsi="Times New Roman" w:cs="Times New Roman"/>
          <w:b/>
          <w:bCs/>
          <w:sz w:val="22"/>
          <w:szCs w:val="22"/>
          <w:lang w:val="nb-NO"/>
        </w:rPr>
      </w:pPr>
    </w:p>
    <w:p w:rsidR="0094564B" w:rsidRPr="00716331" w:rsidRDefault="0094564B" w:rsidP="0094564B">
      <w:pPr>
        <w:shd w:val="clear" w:color="auto" w:fill="FFFFFF"/>
        <w:ind w:left="24"/>
        <w:rPr>
          <w:rFonts w:ascii="Times New Roman" w:hAnsi="Times New Roman" w:cs="Times New Roman"/>
          <w:b/>
          <w:bCs/>
          <w:sz w:val="22"/>
          <w:szCs w:val="22"/>
          <w:lang w:val="nb-NO"/>
        </w:rPr>
      </w:pPr>
    </w:p>
    <w:p w:rsidR="0094564B" w:rsidRPr="00716331" w:rsidRDefault="0094564B" w:rsidP="0094564B">
      <w:pPr>
        <w:shd w:val="clear" w:color="auto" w:fill="FFFFFF"/>
        <w:ind w:left="24"/>
        <w:rPr>
          <w:rFonts w:ascii="Times New Roman" w:hAnsi="Times New Roman" w:cs="Times New Roman"/>
          <w:b/>
          <w:bCs/>
          <w:sz w:val="22"/>
          <w:szCs w:val="22"/>
          <w:lang w:val="nb-NO"/>
        </w:rPr>
      </w:pPr>
    </w:p>
    <w:p w:rsidR="004E24B0" w:rsidRPr="00716331" w:rsidRDefault="004E24B0" w:rsidP="004E24B0">
      <w:pPr>
        <w:jc w:val="both"/>
        <w:rPr>
          <w:rFonts w:ascii="Times New Roman" w:hAnsi="Times New Roman" w:cs="Times New Roman"/>
          <w:b/>
          <w:sz w:val="24"/>
          <w:szCs w:val="22"/>
          <w:lang w:val="nb-NO"/>
        </w:rPr>
      </w:pPr>
      <w:r w:rsidRPr="00716331">
        <w:rPr>
          <w:rFonts w:ascii="Times New Roman" w:hAnsi="Times New Roman" w:cs="Times New Roman"/>
          <w:b/>
          <w:sz w:val="24"/>
          <w:szCs w:val="22"/>
          <w:lang w:val="nb-NO"/>
        </w:rPr>
        <w:t xml:space="preserve">Samarbeidsøkning for å adressere felles utfordringer og muligheter </w:t>
      </w:r>
    </w:p>
    <w:p w:rsidR="009C645B" w:rsidRPr="00716331" w:rsidRDefault="009C645B" w:rsidP="0094564B">
      <w:pPr>
        <w:shd w:val="clear" w:color="auto" w:fill="FFFFFF"/>
        <w:ind w:left="24"/>
        <w:rPr>
          <w:rFonts w:ascii="Times New Roman" w:hAnsi="Times New Roman" w:cs="Times New Roman"/>
          <w:sz w:val="22"/>
          <w:szCs w:val="22"/>
          <w:lang w:val="nb-NO"/>
        </w:rPr>
      </w:pPr>
    </w:p>
    <w:p w:rsidR="0094564B" w:rsidRPr="00716331" w:rsidRDefault="0094564B" w:rsidP="0094564B">
      <w:pPr>
        <w:shd w:val="clear" w:color="auto" w:fill="FFFFFF"/>
        <w:ind w:left="24"/>
        <w:rPr>
          <w:rFonts w:ascii="Times New Roman" w:hAnsi="Times New Roman" w:cs="Times New Roman"/>
          <w:i/>
          <w:iCs/>
          <w:sz w:val="22"/>
          <w:szCs w:val="22"/>
          <w:lang w:val="nb-NO"/>
        </w:rPr>
      </w:pPr>
      <w:r w:rsidRPr="0094564B">
        <w:rPr>
          <w:rFonts w:ascii="Times New Roman" w:hAnsi="Times New Roman" w:cs="Times New Roman"/>
          <w:i/>
          <w:iCs/>
          <w:noProof/>
          <w:sz w:val="22"/>
          <w:szCs w:val="22"/>
          <w:lang w:val="nb-NO" w:eastAsia="nb-NO"/>
        </w:rPr>
        <mc:AlternateContent>
          <mc:Choice Requires="wps">
            <w:drawing>
              <wp:anchor distT="0" distB="0" distL="114300" distR="114300" simplePos="0" relativeHeight="251659264" behindDoc="0" locked="0" layoutInCell="1" allowOverlap="1" wp14:anchorId="392C7EC7" wp14:editId="7B0861F2">
                <wp:simplePos x="0" y="0"/>
                <wp:positionH relativeFrom="column">
                  <wp:posOffset>36194</wp:posOffset>
                </wp:positionH>
                <wp:positionV relativeFrom="paragraph">
                  <wp:posOffset>143510</wp:posOffset>
                </wp:positionV>
                <wp:extent cx="24098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4098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1B30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1.3pt" to="19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" strokecolor="blue"/>
            </w:pict>
          </mc:Fallback>
        </mc:AlternateContent>
      </w:r>
    </w:p>
    <w:p w:rsidR="004E24B0" w:rsidRPr="00B36416" w:rsidRDefault="004E24B0" w:rsidP="004E24B0">
      <w:pPr>
        <w:jc w:val="both"/>
        <w:rPr>
          <w:rFonts w:ascii="Times New Roman" w:hAnsi="Times New Roman" w:cs="Times New Roman"/>
          <w:i/>
          <w:color w:val="0000FF"/>
          <w:sz w:val="22"/>
          <w:szCs w:val="22"/>
          <w:lang w:val="nb-NO"/>
        </w:rPr>
      </w:pPr>
      <w:r w:rsidRPr="00B36416">
        <w:rPr>
          <w:rFonts w:ascii="Times New Roman" w:hAnsi="Times New Roman" w:cs="Times New Roman"/>
          <w:i/>
          <w:color w:val="0000FF"/>
          <w:sz w:val="22"/>
          <w:szCs w:val="22"/>
          <w:lang w:val="nb-NO"/>
        </w:rPr>
        <w:t>De nordlige tynt befolkede områdene (</w:t>
      </w:r>
      <w:r w:rsidR="00B36416">
        <w:rPr>
          <w:rFonts w:ascii="Times New Roman" w:hAnsi="Times New Roman" w:cs="Times New Roman"/>
          <w:i/>
          <w:color w:val="0000FF"/>
          <w:sz w:val="22"/>
          <w:szCs w:val="22"/>
          <w:lang w:val="nb-NO"/>
        </w:rPr>
        <w:t>NSPA</w:t>
      </w:r>
      <w:r w:rsidRPr="00B36416">
        <w:rPr>
          <w:rFonts w:ascii="Times New Roman" w:hAnsi="Times New Roman" w:cs="Times New Roman"/>
          <w:i/>
          <w:color w:val="0000FF"/>
          <w:sz w:val="22"/>
          <w:szCs w:val="22"/>
          <w:lang w:val="nb-NO"/>
        </w:rPr>
        <w:t xml:space="preserve">) </w:t>
      </w:r>
    </w:p>
    <w:p w:rsidR="004E24B0" w:rsidRPr="00716331" w:rsidRDefault="004E24B0" w:rsidP="004E24B0">
      <w:pPr>
        <w:jc w:val="both"/>
        <w:rPr>
          <w:rFonts w:ascii="Times New Roman" w:hAnsi="Times New Roman" w:cs="Times New Roman"/>
          <w:i/>
          <w:color w:val="0000FF"/>
          <w:sz w:val="22"/>
          <w:szCs w:val="22"/>
          <w:lang w:val="nb-NO"/>
        </w:rPr>
      </w:pPr>
      <w:r w:rsidRPr="00716331">
        <w:rPr>
          <w:rFonts w:ascii="Times New Roman" w:hAnsi="Times New Roman" w:cs="Times New Roman"/>
          <w:i/>
          <w:color w:val="0000FF"/>
          <w:sz w:val="22"/>
          <w:szCs w:val="22"/>
          <w:lang w:val="nb-NO"/>
        </w:rPr>
        <w:t xml:space="preserve">utgjør en del av Europas port til Arktis og </w:t>
      </w:r>
    </w:p>
    <w:p w:rsidR="004E24B0" w:rsidRPr="00716331" w:rsidRDefault="004E24B0" w:rsidP="004E24B0">
      <w:pPr>
        <w:jc w:val="both"/>
        <w:rPr>
          <w:rFonts w:ascii="Times New Roman" w:hAnsi="Times New Roman" w:cs="Times New Roman"/>
          <w:i/>
          <w:color w:val="0000FF"/>
          <w:sz w:val="22"/>
          <w:szCs w:val="22"/>
          <w:lang w:val="nb-NO"/>
        </w:rPr>
      </w:pPr>
      <w:r w:rsidRPr="00716331">
        <w:rPr>
          <w:rFonts w:ascii="Times New Roman" w:hAnsi="Times New Roman" w:cs="Times New Roman"/>
          <w:i/>
          <w:color w:val="0000FF"/>
          <w:sz w:val="22"/>
          <w:szCs w:val="22"/>
          <w:lang w:val="nb-NO"/>
        </w:rPr>
        <w:t xml:space="preserve">Russland og står overfor spesielle </w:t>
      </w:r>
    </w:p>
    <w:p w:rsidR="004E24B0" w:rsidRPr="00716331" w:rsidRDefault="004E24B0" w:rsidP="004E24B0">
      <w:pPr>
        <w:jc w:val="both"/>
        <w:rPr>
          <w:rFonts w:ascii="Times New Roman" w:hAnsi="Times New Roman" w:cs="Times New Roman"/>
          <w:i/>
          <w:color w:val="0000FF"/>
          <w:sz w:val="22"/>
          <w:szCs w:val="22"/>
          <w:lang w:val="nb-NO"/>
        </w:rPr>
      </w:pPr>
      <w:r w:rsidRPr="00716331">
        <w:rPr>
          <w:rFonts w:ascii="Times New Roman" w:hAnsi="Times New Roman" w:cs="Times New Roman"/>
          <w:i/>
          <w:color w:val="0000FF"/>
          <w:sz w:val="22"/>
          <w:szCs w:val="22"/>
          <w:lang w:val="nb-NO"/>
        </w:rPr>
        <w:t xml:space="preserve">utviklingsutfordringer på grunn av sine </w:t>
      </w:r>
    </w:p>
    <w:p w:rsidR="004E24B0" w:rsidRPr="00716331" w:rsidRDefault="004E24B0" w:rsidP="004E24B0">
      <w:pPr>
        <w:jc w:val="both"/>
        <w:rPr>
          <w:rFonts w:ascii="Times New Roman" w:hAnsi="Times New Roman" w:cs="Times New Roman"/>
          <w:i/>
          <w:color w:val="0000FF"/>
          <w:sz w:val="22"/>
          <w:szCs w:val="22"/>
          <w:lang w:val="nb-NO"/>
        </w:rPr>
      </w:pPr>
      <w:r w:rsidRPr="00716331">
        <w:rPr>
          <w:rFonts w:ascii="Times New Roman" w:hAnsi="Times New Roman" w:cs="Times New Roman"/>
          <w:i/>
          <w:color w:val="0000FF"/>
          <w:sz w:val="22"/>
          <w:szCs w:val="22"/>
          <w:lang w:val="nb-NO"/>
        </w:rPr>
        <w:t>bestemte geografiske trekk og beliggenhet</w:t>
      </w:r>
    </w:p>
    <w:p w:rsidR="0094564B" w:rsidRPr="004E24B0" w:rsidRDefault="0094564B" w:rsidP="0094564B">
      <w:pPr>
        <w:shd w:val="clear" w:color="auto" w:fill="FFFFFF"/>
        <w:ind w:left="653" w:right="638" w:firstLine="326"/>
        <w:jc w:val="both"/>
        <w:rPr>
          <w:rFonts w:ascii="Times New Roman" w:hAnsi="Times New Roman" w:cs="Times New Roman"/>
          <w:sz w:val="22"/>
          <w:szCs w:val="22"/>
          <w:lang w:val="nb-NO"/>
        </w:rPr>
      </w:pPr>
      <w:r w:rsidRPr="0094564B">
        <w:rPr>
          <w:rFonts w:ascii="Times New Roman" w:hAnsi="Times New Roman" w:cs="Times New Roman"/>
          <w:i/>
          <w:iCs/>
          <w:noProof/>
          <w:sz w:val="22"/>
          <w:szCs w:val="22"/>
          <w:lang w:val="nb-NO" w:eastAsia="nb-NO"/>
        </w:rPr>
        <mc:AlternateContent>
          <mc:Choice Requires="wps">
            <w:drawing>
              <wp:anchor distT="0" distB="0" distL="114300" distR="114300" simplePos="0" relativeHeight="251661312" behindDoc="0" locked="0" layoutInCell="1" allowOverlap="1" wp14:anchorId="52BACDD7" wp14:editId="63778732">
                <wp:simplePos x="0" y="0"/>
                <wp:positionH relativeFrom="column">
                  <wp:posOffset>-21590</wp:posOffset>
                </wp:positionH>
                <wp:positionV relativeFrom="paragraph">
                  <wp:posOffset>52070</wp:posOffset>
                </wp:positionV>
                <wp:extent cx="24098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4098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5055A"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4.1pt" to="188.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" strokecolor="blue"/>
            </w:pict>
          </mc:Fallback>
        </mc:AlternateContent>
      </w:r>
    </w:p>
    <w:p w:rsidR="0094564B" w:rsidRPr="004E24B0" w:rsidRDefault="0094564B" w:rsidP="0094564B">
      <w:pPr>
        <w:shd w:val="clear" w:color="auto" w:fill="FFFFFF"/>
        <w:ind w:left="653" w:right="638" w:firstLine="326"/>
        <w:jc w:val="both"/>
        <w:rPr>
          <w:rFonts w:ascii="Times New Roman" w:hAnsi="Times New Roman" w:cs="Times New Roman"/>
          <w:sz w:val="22"/>
          <w:szCs w:val="22"/>
          <w:lang w:val="nb-NO"/>
        </w:rPr>
      </w:pPr>
    </w:p>
    <w:p w:rsidR="004E24B0" w:rsidRPr="00E3722C" w:rsidRDefault="004E24B0" w:rsidP="004E24B0">
      <w:pPr>
        <w:ind w:firstLine="70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Den økonomiske og geopolitiske betydningen av de nordlige tynt befolkede områdene har vært økende for EU og medlemsland på grunn av forandrende klima, tilgang på hydrokarbon og mineralforekomster, og skiftende forhold til Den russiske føderajon (heretter «Russland») og andre arktiske stater. Forandrende klima setter nytt press på ekosystemer og den tradisjonelle væremåten og åpner nye muligheter for ressursutvinning. De nordlige tynt befolkede områdene er Europas port til Arktis og Nord-Russland og er viktige for energisikkerhet, matproduksjon og teknologiske innovasjoner, noe som øker deres geopolitiske betydning for medlemsland. Denne betydningen anerkjennes av EU og nasjonale regjeringer i Finland, Norge og Sverige. I det siste har både EU, Finland, Norge og Sverige offentliggjort den arktiske politikken som bindende avtaler om bærekraftig utvikling av de nordlige områdene. Som eksisterende (skjønt svak) institusjon er de nordlige tynt befolkede områdene en viktig deltaker som hjelper å oppnå disse strategiske politikkmålene. </w:t>
      </w:r>
    </w:p>
    <w:p w:rsidR="007E3BF7" w:rsidRPr="00716331" w:rsidRDefault="007E3BF7" w:rsidP="0094564B">
      <w:pPr>
        <w:shd w:val="clear" w:color="auto" w:fill="FFFFFF"/>
        <w:ind w:right="47" w:firstLine="326"/>
        <w:jc w:val="both"/>
        <w:rPr>
          <w:rFonts w:ascii="Times New Roman" w:hAnsi="Times New Roman" w:cs="Times New Roman"/>
          <w:sz w:val="22"/>
          <w:szCs w:val="22"/>
          <w:lang w:val="nb-NO"/>
        </w:rPr>
      </w:pPr>
    </w:p>
    <w:p w:rsidR="004E24B0" w:rsidRPr="00E3722C" w:rsidRDefault="004E24B0" w:rsidP="004E24B0">
      <w:pPr>
        <w:ind w:firstLine="70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De nordlige tynt befolkede områdene er forskjellige fra andre regioner i Europa på grunn av et </w:t>
      </w:r>
      <w:r>
        <w:rPr>
          <w:rFonts w:ascii="Times New Roman" w:hAnsi="Times New Roman" w:cs="Times New Roman"/>
          <w:sz w:val="22"/>
          <w:szCs w:val="22"/>
          <w:lang w:val="nb-NO"/>
        </w:rPr>
        <w:t xml:space="preserve"> </w:t>
      </w:r>
      <w:r w:rsidRPr="00E3722C">
        <w:rPr>
          <w:rFonts w:ascii="Times New Roman" w:hAnsi="Times New Roman" w:cs="Times New Roman"/>
          <w:sz w:val="22"/>
          <w:szCs w:val="22"/>
          <w:lang w:val="nb-NO"/>
        </w:rPr>
        <w:t xml:space="preserve">barskt klima, rike naturressurser og lange avstander mellom bosetninger og fra markeder. Den spesielle geografiske posisjonen av de nordlige tynt befolkede områdene kombinert med liten befolkning gjør at denne regionen spesielt er avhengig av eksport av rå og halvbearbeidede naturressurser. Ressursutvinning i stor skala og industriforedling forbundet med gruvedrift, skogbruk, olje og gass, fiskeri og havbruk, samt landbruk er viktige for regionenes økonomiske basis. Det er også et økende marked for internasjonal turisme som igjen er innstilt på natur- og kulturverdier, som også er en viktig kilde til kreativitet og entreprenørskap. Innenfor disse vide rammene er det også viktige teknologiske innovasjoner som fins i regioner med nisjeproduksjon og -tjenester, samt banebrytende forskning og innovasjon knyttet til det arktiske klimaet og miljøet. Generelt har de nordlige tynt befolkede områdene et høyere produktivitetsnivå enn OECD-landene i gjennomsnitt selv om de ligger etter andre regioner i de nordiske landene. </w:t>
      </w:r>
    </w:p>
    <w:p w:rsidR="007E3BF7" w:rsidRPr="00716331" w:rsidRDefault="007E3BF7" w:rsidP="0094564B">
      <w:pPr>
        <w:shd w:val="clear" w:color="auto" w:fill="FFFFFF"/>
        <w:ind w:left="696" w:firstLine="346"/>
        <w:jc w:val="both"/>
        <w:rPr>
          <w:rFonts w:ascii="Times New Roman" w:hAnsi="Times New Roman" w:cs="Times New Roman"/>
          <w:sz w:val="22"/>
          <w:szCs w:val="22"/>
          <w:lang w:val="nb-NO"/>
        </w:rPr>
      </w:pPr>
      <w:r w:rsidRPr="0094564B">
        <w:rPr>
          <w:rFonts w:ascii="Times New Roman" w:hAnsi="Times New Roman" w:cs="Times New Roman"/>
          <w:i/>
          <w:iCs/>
          <w:noProof/>
          <w:sz w:val="22"/>
          <w:szCs w:val="22"/>
          <w:lang w:val="nb-NO" w:eastAsia="nb-NO"/>
        </w:rPr>
        <mc:AlternateContent>
          <mc:Choice Requires="wps">
            <w:drawing>
              <wp:anchor distT="0" distB="0" distL="114300" distR="114300" simplePos="0" relativeHeight="251663360" behindDoc="0" locked="0" layoutInCell="1" allowOverlap="1" wp14:anchorId="7B8A7E0D" wp14:editId="0B12A05A">
                <wp:simplePos x="0" y="0"/>
                <wp:positionH relativeFrom="column">
                  <wp:posOffset>56515</wp:posOffset>
                </wp:positionH>
                <wp:positionV relativeFrom="paragraph">
                  <wp:posOffset>118745</wp:posOffset>
                </wp:positionV>
                <wp:extent cx="24098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0000FF"/>
                          </a:solidFill>
                          <a:prstDash val="solid"/>
                        </a:ln>
                        <a:effectLst/>
                      </wps:spPr>
                      <wps:bodyPr/>
                    </wps:wsp>
                  </a:graphicData>
                </a:graphic>
              </wp:anchor>
            </w:drawing>
          </mc:Choice>
          <mc:Fallback>
            <w:pict>
              <v:line w14:anchorId="6DF80442" id="Прямая соединительная лини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5pt,9.35pt" to="19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" strokecolor="blue"/>
            </w:pict>
          </mc:Fallback>
        </mc:AlternateConten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På tross av utfordringer forbundet med </w: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avsides beliggenhet og lav tetthet har </w: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disse regionene generelt høyt velferds- </w:t>
      </w:r>
    </w:p>
    <w:p w:rsidR="004E24B0" w:rsidRPr="004E24B0" w:rsidRDefault="004E24B0" w:rsidP="004E24B0">
      <w:pPr>
        <w:jc w:val="both"/>
        <w:rPr>
          <w:rFonts w:ascii="Times New Roman" w:hAnsi="Times New Roman" w:cs="Times New Roman"/>
          <w:i/>
          <w:sz w:val="22"/>
          <w:szCs w:val="22"/>
          <w:lang w:val="nb-NO"/>
        </w:rPr>
      </w:pPr>
      <w:r w:rsidRPr="00CD5FDF">
        <w:rPr>
          <w:rFonts w:ascii="Times New Roman" w:hAnsi="Times New Roman" w:cs="Times New Roman"/>
          <w:i/>
          <w:color w:val="0000FF"/>
          <w:sz w:val="22"/>
          <w:szCs w:val="22"/>
          <w:lang w:val="nb-NO"/>
        </w:rPr>
        <w:t xml:space="preserve">og velstandsnivå i OECD-sammenheng </w:t>
      </w:r>
    </w:p>
    <w:p w:rsidR="007E3BF7" w:rsidRPr="00716331" w:rsidRDefault="007E3BF7" w:rsidP="0094564B">
      <w:pPr>
        <w:shd w:val="clear" w:color="auto" w:fill="FFFFFF"/>
        <w:ind w:left="696" w:firstLine="346"/>
        <w:rPr>
          <w:rFonts w:ascii="Times New Roman" w:hAnsi="Times New Roman" w:cs="Times New Roman"/>
          <w:sz w:val="22"/>
          <w:szCs w:val="22"/>
          <w:lang w:val="nb-NO"/>
        </w:rPr>
      </w:pPr>
      <w:r w:rsidRPr="0094564B">
        <w:rPr>
          <w:rFonts w:ascii="Times New Roman" w:hAnsi="Times New Roman" w:cs="Times New Roman"/>
          <w:i/>
          <w:iCs/>
          <w:noProof/>
          <w:sz w:val="22"/>
          <w:szCs w:val="22"/>
          <w:lang w:val="nb-NO" w:eastAsia="nb-NO"/>
        </w:rPr>
        <mc:AlternateContent>
          <mc:Choice Requires="wps">
            <w:drawing>
              <wp:anchor distT="0" distB="0" distL="114300" distR="114300" simplePos="0" relativeHeight="251665408" behindDoc="0" locked="0" layoutInCell="1" allowOverlap="1" wp14:anchorId="649E5843" wp14:editId="29ACEBB1">
                <wp:simplePos x="0" y="0"/>
                <wp:positionH relativeFrom="column">
                  <wp:posOffset>-10160</wp:posOffset>
                </wp:positionH>
                <wp:positionV relativeFrom="paragraph">
                  <wp:posOffset>20320</wp:posOffset>
                </wp:positionV>
                <wp:extent cx="240982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0000FF"/>
                          </a:solidFill>
                          <a:prstDash val="solid"/>
                        </a:ln>
                        <a:effectLst/>
                      </wps:spPr>
                      <wps:bodyPr/>
                    </wps:wsp>
                  </a:graphicData>
                </a:graphic>
              </wp:anchor>
            </w:drawing>
          </mc:Choice>
          <mc:Fallback>
            <w:pict>
              <v:line w14:anchorId="62E02BCF" id="Прямая соединительная линия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pt,1.6pt" to="18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" strokecolor="blue"/>
            </w:pict>
          </mc:Fallback>
        </mc:AlternateContent>
      </w:r>
    </w:p>
    <w:p w:rsidR="009C645B" w:rsidRPr="004E24B0" w:rsidRDefault="004E24B0" w:rsidP="004E24B0">
      <w:pPr>
        <w:shd w:val="clear" w:color="auto" w:fill="FFFFFF"/>
        <w:ind w:firstLine="696"/>
        <w:rPr>
          <w:rFonts w:ascii="Times New Roman" w:hAnsi="Times New Roman" w:cs="Times New Roman"/>
          <w:sz w:val="22"/>
          <w:szCs w:val="22"/>
          <w:lang w:val="nb-NO"/>
        </w:rPr>
      </w:pPr>
      <w:r w:rsidRPr="00E3722C">
        <w:rPr>
          <w:rFonts w:ascii="Times New Roman" w:hAnsi="Times New Roman" w:cs="Times New Roman"/>
          <w:sz w:val="22"/>
          <w:szCs w:val="22"/>
          <w:lang w:val="nb-NO"/>
        </w:rPr>
        <w:t>Mens det er klare utfordringer til økonomisk vekst i årene som kommer, er det høy tilfredshetsgrad med livskvalitet totalt sett blant bosatte i de nordlige tynt befolkede områdene.</w:t>
      </w:r>
    </w:p>
    <w:p w:rsidR="007E3BF7" w:rsidRPr="004E24B0" w:rsidRDefault="007E3BF7">
      <w:pPr>
        <w:widowControl/>
        <w:autoSpaceDE/>
        <w:autoSpaceDN/>
        <w:adjustRightInd/>
        <w:spacing w:after="200" w:line="276" w:lineRule="auto"/>
        <w:rPr>
          <w:rFonts w:ascii="Times New Roman" w:hAnsi="Times New Roman" w:cs="Times New Roman"/>
          <w:sz w:val="22"/>
          <w:szCs w:val="22"/>
          <w:lang w:val="nb-NO"/>
        </w:rPr>
      </w:pPr>
      <w:r w:rsidRPr="004E24B0">
        <w:rPr>
          <w:rFonts w:ascii="Times New Roman" w:hAnsi="Times New Roman" w:cs="Times New Roman"/>
          <w:sz w:val="22"/>
          <w:szCs w:val="22"/>
          <w:lang w:val="nb-NO"/>
        </w:rPr>
        <w:br w:type="page"/>
      </w:r>
    </w:p>
    <w:p w:rsidR="007E3BF7" w:rsidRPr="004E24B0" w:rsidRDefault="007E3BF7" w:rsidP="0094564B">
      <w:pPr>
        <w:shd w:val="clear" w:color="auto" w:fill="FFFFFF"/>
        <w:ind w:left="696" w:firstLine="346"/>
        <w:rPr>
          <w:rFonts w:ascii="Times New Roman" w:hAnsi="Times New Roman" w:cs="Times New Roman"/>
          <w:sz w:val="22"/>
          <w:szCs w:val="22"/>
          <w:lang w:val="nb-NO"/>
        </w:rPr>
      </w:pPr>
    </w:p>
    <w:p w:rsidR="004E24B0" w:rsidRPr="00E3722C" w:rsidRDefault="004E24B0" w:rsidP="004E24B0">
      <w:pPr>
        <w:ind w:firstLine="70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Selv om tilfredshetsgraden er noe lavere enn hos medborgere sør i hvert land, er den usedvanlig høy etter OECDs standarder. Mens innbyggere i de nordlige tynt befolkede områdene opplever generelt lavere sysselsetting og inntektseffekter enn gjennomsnittet på landsbasis, er andre faktorer som boligmasse, miljø og tilgjengelighet av offentlige tjenester på høyere eller nesten på samme nivå som ellers i landet. Dette antyder at hvis det er mulig å øke sysselsettingsnivå og produktivitet og utvikle både fungering og geografisk omfang av lokale arbeidsmarkeder i de nordlige tynt befolkede områdene, er det større sannsynlighet for å beholde og tiltrekke folk, og en betraktelig del av den demografiske utfordringen vil løses. </w:t>
      </w:r>
    </w:p>
    <w:p w:rsidR="009C645B" w:rsidRPr="00716331" w:rsidRDefault="009C645B" w:rsidP="0094564B">
      <w:pPr>
        <w:shd w:val="clear" w:color="auto" w:fill="FFFFFF"/>
        <w:ind w:left="696"/>
        <w:jc w:val="both"/>
        <w:rPr>
          <w:rFonts w:ascii="Times New Roman" w:hAnsi="Times New Roman" w:cs="Times New Roman"/>
          <w:sz w:val="22"/>
          <w:szCs w:val="22"/>
          <w:lang w:val="nb-NO"/>
        </w:rPr>
      </w:pPr>
    </w:p>
    <w:p w:rsidR="004E24B0" w:rsidRPr="00E3722C" w:rsidRDefault="004E24B0" w:rsidP="004E24B0">
      <w:pPr>
        <w:ind w:firstLine="70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Det er et markant mangfold av økonomiske og sosiale resultater innenfor disse regionene. Økonomisk vekst og befolkningsvekst er stadig oftere konsentrert i et mindre antall av større lokale arbeidsmarkeder som utjevner en del mer generelle effekter av befolkningseldring og -reduksjon. Videre stimulering av denne prosessen og bedre kobling av mindre samfunn via bredbånd skal hjelpe å adressere den demografiske utfordringen. I de nordlige tynt befolkede områdene er bedrifter stort sett små og deres mest vanlige spesialisering er i naturressurser, mens store organisasjoner spesialiserer seg på å være tjenesteleverandører i offentlig sektor. Store bedrifter i privat sektor opplever nedgang i absolutte tall og som andel av alle bedriftene. I noen deler av de nordlige tynt befolkede områdene er det en forholdsvis høy grad av nyetableringer, men i andre deler virker det at det er mangel på forretningsoppførsel blant lokale folk. Forbundet med det er det en veldig høy sysselsettingsgrad i offentlig sektor, spesielt i noen mindre kommuner som ikke er en del av et større lokalt arbeidsmarked. </w:t>
      </w:r>
    </w:p>
    <w:p w:rsidR="007E3BF7" w:rsidRPr="00716331" w:rsidRDefault="007E3BF7" w:rsidP="0094564B">
      <w:pPr>
        <w:shd w:val="clear" w:color="auto" w:fill="FFFFFF"/>
        <w:ind w:left="691" w:firstLine="336"/>
        <w:jc w:val="both"/>
        <w:rPr>
          <w:rFonts w:ascii="Times New Roman" w:hAnsi="Times New Roman" w:cs="Times New Roman"/>
          <w:sz w:val="22"/>
          <w:szCs w:val="22"/>
          <w:lang w:val="nb-NO"/>
        </w:rPr>
      </w:pPr>
      <w:r w:rsidRPr="00CD5FDF">
        <w:rPr>
          <w:rFonts w:ascii="Times New Roman" w:hAnsi="Times New Roman" w:cs="Times New Roman"/>
          <w:noProof/>
          <w:color w:val="0000FF"/>
          <w:sz w:val="22"/>
          <w:szCs w:val="22"/>
          <w:lang w:val="nb-NO" w:eastAsia="nb-NO"/>
        </w:rPr>
        <mc:AlternateContent>
          <mc:Choice Requires="wps">
            <w:drawing>
              <wp:anchor distT="0" distB="0" distL="114300" distR="114300" simplePos="0" relativeHeight="251666432" behindDoc="0" locked="0" layoutInCell="1" allowOverlap="1" wp14:anchorId="69DAA79C" wp14:editId="045D025D">
                <wp:simplePos x="0" y="0"/>
                <wp:positionH relativeFrom="column">
                  <wp:posOffset>-2540</wp:posOffset>
                </wp:positionH>
                <wp:positionV relativeFrom="paragraph">
                  <wp:posOffset>112395</wp:posOffset>
                </wp:positionV>
                <wp:extent cx="26670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6670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02DB5"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pt,8.85pt" to="20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" strokecolor="blue"/>
            </w:pict>
          </mc:Fallback>
        </mc:AlternateConten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Økt samarbeid på tvers av grenser kunne gjøre </w: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det mulig for de nordlige tynt befolkede </w:t>
      </w:r>
    </w:p>
    <w:p w:rsidR="004E24B0"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områdene å adressere felles utfordringer og </w:t>
      </w:r>
    </w:p>
    <w:p w:rsidR="009C645B" w:rsidRPr="00CD5FDF" w:rsidRDefault="004E24B0" w:rsidP="004E24B0">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muligheter bedre</w:t>
      </w:r>
    </w:p>
    <w:p w:rsidR="007E3BF7" w:rsidRPr="004E24B0" w:rsidRDefault="007E3BF7" w:rsidP="0094564B">
      <w:pPr>
        <w:shd w:val="clear" w:color="auto" w:fill="FFFFFF"/>
        <w:ind w:right="4838"/>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68480" behindDoc="0" locked="0" layoutInCell="1" allowOverlap="1" wp14:anchorId="7F305278" wp14:editId="7BD8B7A2">
                <wp:simplePos x="0" y="0"/>
                <wp:positionH relativeFrom="column">
                  <wp:posOffset>-2540</wp:posOffset>
                </wp:positionH>
                <wp:positionV relativeFrom="paragraph">
                  <wp:posOffset>32385</wp:posOffset>
                </wp:positionV>
                <wp:extent cx="2667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6670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3006F" id="Прямая соединительная линия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2.55pt" to="20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" strokecolor="blue"/>
            </w:pict>
          </mc:Fallback>
        </mc:AlternateContent>
      </w:r>
    </w:p>
    <w:p w:rsidR="004E24B0" w:rsidRPr="00E3722C" w:rsidRDefault="004E24B0" w:rsidP="004E24B0">
      <w:pPr>
        <w:ind w:firstLine="70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Å adressere vanlige utfordringer og muligheter som de nordlige tynt befolkede områdene står overfor, vil kreve en forbedret tilnærming til samarbeid på tvers av grenser med fokus på sentrale mulighetsgivende faktorer for vekst og produktivitet (ferdigheter, innovasjon og infrastruktur). Det fins allerede flere samarbeidsprosjekter støttet av EU og nasjonale regjeringer som omfatter disse spørsmålene, og det er muligheter for bedre koordinering og justering for å adressere sentrale utfordringer som de nordlige tynt befolkede områdene står overfor. De nordlige tynt befolkede områdene selv fremmer kunnskapsdeling, men fungerer hovedsakelig som en vei til å opprettholde kontakter med EU og påvirke EUs politikkutvikling, blant annet distribuering og bruk av samhørighetsfond. Som følge av dette er det mangel på samlet tilnærming blant de nordlige tynt befolkede områdene for å påvirke sektorpolitikker av nasjonale regjeringer slik at de kan bli bedre skreddersydd og intergret i unike utfordringer og muligheter som de nordlige tynt befolkede områdene står overfor. Å styrke denne plassbaserte tilnærmingen til politikker ville la regioner utnytte komplementariteter (for eksempel mellom matproduksjon og turisme, IKT og tjenesteleveranse, samt mellom by- og distriktsområder). For å bestemme hvordan man styrker dette samarbeidet de nordlige tynt befolkede områdene seg imellom og kobler det til fora på nasjonalt nivå vil det kreves å bygge på eksisterende institusjoner som Nordisk råd og Barents euroarktiske råd. </w:t>
      </w:r>
    </w:p>
    <w:p w:rsidR="009C645B" w:rsidRPr="00716331" w:rsidRDefault="009C645B" w:rsidP="0094564B">
      <w:pPr>
        <w:shd w:val="clear" w:color="auto" w:fill="FFFFFF"/>
        <w:ind w:left="691" w:right="24" w:firstLine="350"/>
        <w:jc w:val="both"/>
        <w:rPr>
          <w:rFonts w:ascii="Times New Roman" w:hAnsi="Times New Roman" w:cs="Times New Roman"/>
          <w:sz w:val="22"/>
          <w:szCs w:val="22"/>
          <w:lang w:val="nb-NO"/>
        </w:rPr>
        <w:sectPr w:rsidR="009C645B" w:rsidRPr="00716331" w:rsidSect="00AE1492">
          <w:headerReference w:type="default" r:id="rId7"/>
          <w:footerReference w:type="default" r:id="rId8"/>
          <w:pgSz w:w="11909" w:h="16834"/>
          <w:pgMar w:top="1440" w:right="1294" w:bottom="720" w:left="1744" w:header="720" w:footer="720" w:gutter="0"/>
          <w:pgNumType w:start="17"/>
          <w:cols w:space="60"/>
          <w:noEndnote/>
        </w:sectPr>
      </w:pPr>
    </w:p>
    <w:tbl>
      <w:tblPr>
        <w:tblStyle w:val="Tabellrutenett"/>
        <w:tblW w:w="0" w:type="auto"/>
        <w:tblLook w:val="04A0" w:firstRow="1" w:lastRow="0" w:firstColumn="1" w:lastColumn="0" w:noHBand="0" w:noVBand="1"/>
      </w:tblPr>
      <w:tblGrid>
        <w:gridCol w:w="8155"/>
      </w:tblGrid>
      <w:tr w:rsidR="007E3BF7" w:rsidRPr="00B36416" w:rsidTr="007E3BF7">
        <w:tc>
          <w:tcPr>
            <w:tcW w:w="8381" w:type="dxa"/>
          </w:tcPr>
          <w:p w:rsidR="007E3BF7" w:rsidRPr="00716331" w:rsidRDefault="007E3BF7" w:rsidP="007E3BF7">
            <w:pPr>
              <w:shd w:val="clear" w:color="auto" w:fill="FFFFFF"/>
              <w:rPr>
                <w:rFonts w:ascii="Times New Roman" w:hAnsi="Times New Roman" w:cs="Times New Roman"/>
                <w:sz w:val="22"/>
                <w:szCs w:val="22"/>
                <w:lang w:val="nb-NO"/>
              </w:rPr>
            </w:pPr>
          </w:p>
          <w:p w:rsidR="004E24B0" w:rsidRPr="00E3722C" w:rsidRDefault="004E24B0" w:rsidP="004E24B0">
            <w:pPr>
              <w:ind w:firstLine="708"/>
              <w:jc w:val="center"/>
              <w:rPr>
                <w:rFonts w:ascii="Times New Roman" w:hAnsi="Times New Roman" w:cs="Times New Roman"/>
                <w:b/>
                <w:sz w:val="22"/>
                <w:szCs w:val="22"/>
                <w:lang w:val="nb-NO"/>
              </w:rPr>
            </w:pPr>
            <w:r w:rsidRPr="00E3722C">
              <w:rPr>
                <w:rFonts w:ascii="Times New Roman" w:hAnsi="Times New Roman" w:cs="Times New Roman"/>
                <w:b/>
                <w:sz w:val="22"/>
                <w:szCs w:val="22"/>
                <w:lang w:val="nb-NO"/>
              </w:rPr>
              <w:t xml:space="preserve">Anbefalinger </w:t>
            </w:r>
            <w:r w:rsidR="00E97723">
              <w:rPr>
                <w:rFonts w:ascii="Times New Roman" w:hAnsi="Times New Roman" w:cs="Times New Roman"/>
                <w:b/>
                <w:sz w:val="22"/>
                <w:szCs w:val="22"/>
                <w:lang w:val="nb-NO"/>
              </w:rPr>
              <w:t>for</w:t>
            </w:r>
            <w:r w:rsidRPr="00E3722C">
              <w:rPr>
                <w:rFonts w:ascii="Times New Roman" w:hAnsi="Times New Roman" w:cs="Times New Roman"/>
                <w:b/>
                <w:sz w:val="22"/>
                <w:szCs w:val="22"/>
                <w:lang w:val="nb-NO"/>
              </w:rPr>
              <w:t xml:space="preserve"> å adressere mer effektivt felles utfordringer som de nordlige tynt befolkede områdene står overfor </w:t>
            </w:r>
          </w:p>
          <w:p w:rsidR="007E3BF7" w:rsidRPr="00E97723" w:rsidRDefault="007E3BF7" w:rsidP="004E24B0">
            <w:pPr>
              <w:shd w:val="clear" w:color="auto" w:fill="FFFFFF"/>
              <w:rPr>
                <w:rFonts w:ascii="Times New Roman" w:hAnsi="Times New Roman" w:cs="Times New Roman"/>
                <w:sz w:val="22"/>
                <w:szCs w:val="22"/>
                <w:lang w:val="nb-NO"/>
              </w:rPr>
            </w:pPr>
          </w:p>
          <w:p w:rsidR="00E97723" w:rsidRPr="00716331" w:rsidRDefault="00E97723" w:rsidP="00E97723">
            <w:pPr>
              <w:jc w:val="both"/>
              <w:rPr>
                <w:rFonts w:ascii="Times New Roman" w:hAnsi="Times New Roman" w:cs="Times New Roman"/>
                <w:sz w:val="22"/>
                <w:szCs w:val="22"/>
                <w:lang w:val="nb-NO"/>
              </w:rPr>
            </w:pPr>
            <w:r>
              <w:rPr>
                <w:rFonts w:ascii="Times New Roman" w:hAnsi="Times New Roman" w:cs="Times New Roman"/>
                <w:sz w:val="22"/>
                <w:szCs w:val="22"/>
                <w:lang w:val="nb-NO"/>
              </w:rPr>
              <w:t xml:space="preserve">1. </w:t>
            </w:r>
            <w:r w:rsidRPr="00E3722C">
              <w:rPr>
                <w:rFonts w:ascii="Times New Roman" w:hAnsi="Times New Roman" w:cs="Times New Roman"/>
                <w:sz w:val="22"/>
                <w:szCs w:val="22"/>
                <w:lang w:val="nb-NO"/>
              </w:rPr>
              <w:t xml:space="preserve">Fortsette å sørge for at unike egenskaper av de nordlige tynt befolkede områdene (et barskt klima, lange avstander fra markeder og et lite antall isolerte bosettinger) inkorporeres effektivt i nasjonal politikkutvikling og politikkutvikling på europeisk nivå for regional og distriktsframvekst, samt tjenesteleveranser. </w:t>
            </w:r>
            <w:r>
              <w:rPr>
                <w:rFonts w:ascii="Times New Roman" w:hAnsi="Times New Roman" w:cs="Times New Roman"/>
                <w:sz w:val="22"/>
                <w:szCs w:val="22"/>
                <w:lang w:val="nb-NO"/>
              </w:rPr>
              <w:t>Dette omfatter</w:t>
            </w:r>
            <w:r w:rsidRPr="00716331">
              <w:rPr>
                <w:rFonts w:ascii="Times New Roman" w:hAnsi="Times New Roman" w:cs="Times New Roman"/>
                <w:sz w:val="22"/>
                <w:szCs w:val="22"/>
                <w:lang w:val="nb-NO"/>
              </w:rPr>
              <w:t xml:space="preserve">:  </w:t>
            </w:r>
          </w:p>
          <w:p w:rsidR="00CE3E66" w:rsidRPr="00716331" w:rsidRDefault="00CE3E66" w:rsidP="007E3BF7">
            <w:pPr>
              <w:shd w:val="clear" w:color="auto" w:fill="FFFFFF"/>
              <w:tabs>
                <w:tab w:val="left" w:pos="470"/>
              </w:tabs>
              <w:ind w:left="470" w:right="14" w:hanging="355"/>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a. å anerkjenne betydningen av infrastrukturforbedring for konnektivitet</w:t>
            </w:r>
          </w:p>
          <w:p w:rsidR="00CE3E66" w:rsidRPr="00716331" w:rsidRDefault="00CE3E66" w:rsidP="007E3BF7">
            <w:pPr>
              <w:shd w:val="clear" w:color="auto" w:fill="FFFFFF"/>
              <w:tabs>
                <w:tab w:val="left" w:pos="845"/>
              </w:tabs>
              <w:ind w:left="470"/>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b. behov for å fokusere knappe ressurser for økonomisk utvikling i områder med absolutte fortrinn</w:t>
            </w:r>
          </w:p>
          <w:p w:rsidR="00CE3E66" w:rsidRPr="00716331" w:rsidRDefault="00CE3E66" w:rsidP="007E3BF7">
            <w:pPr>
              <w:shd w:val="clear" w:color="auto" w:fill="FFFFFF"/>
              <w:tabs>
                <w:tab w:val="left" w:pos="845"/>
              </w:tabs>
              <w:ind w:left="845" w:right="14"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c. å ta i betraktning høyere enhetskostnader ved leveranser av offentlige tjenester (som skyldes avsides beliggenhet, lav befolkningstetthet og et barskt klima).</w:t>
            </w:r>
          </w:p>
          <w:p w:rsidR="00CE3E66" w:rsidRPr="00716331" w:rsidRDefault="00CE3E66" w:rsidP="007E3BF7">
            <w:pPr>
              <w:shd w:val="clear" w:color="auto" w:fill="FFFFFF"/>
              <w:tabs>
                <w:tab w:val="left" w:pos="845"/>
              </w:tabs>
              <w:ind w:left="845" w:right="14"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2. Styrke eksisterende samarbeid på tvers av de nordlige tynt befolkede områdene ved bedre tilknytning av dette nettverket til Nordisk råd og utvikling av et arbeidsprogram for å fremme kunnskapsdeling, harmonisere politikk og regulerende rammer hvor det er hensiktsmessig, og overvåke gjennomføring av EUs og nasjonal politikk med internasjonal betydning. Dette arbeidsprogrammet bør fokusere på å adressere felles utfordringer og muligheter med følgende formål:</w:t>
            </w:r>
          </w:p>
          <w:p w:rsidR="00CE3E66" w:rsidRPr="00716331" w:rsidRDefault="00CE3E66" w:rsidP="007E3BF7">
            <w:pPr>
              <w:shd w:val="clear" w:color="auto" w:fill="FFFFFF"/>
              <w:tabs>
                <w:tab w:val="left" w:pos="470"/>
              </w:tabs>
              <w:ind w:left="470" w:hanging="355"/>
              <w:jc w:val="both"/>
              <w:rPr>
                <w:rFonts w:ascii="Times New Roman" w:hAnsi="Times New Roman" w:cs="Times New Roman"/>
                <w:sz w:val="22"/>
                <w:szCs w:val="22"/>
                <w:lang w:val="nb-NO"/>
              </w:rPr>
            </w:pPr>
          </w:p>
          <w:p w:rsidR="007E3BF7" w:rsidRPr="00E97723"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a. å øke bruk av e-teknologier og innovative partnerskap med privat og kommunal samfunnssektorer for å drive innovasjon innenfor tjenesteleveranser </w:t>
            </w:r>
          </w:p>
          <w:p w:rsidR="00CE3E66" w:rsidRPr="00E97723" w:rsidRDefault="00CE3E66" w:rsidP="007E3BF7">
            <w:pPr>
              <w:shd w:val="clear" w:color="auto" w:fill="FFFFFF"/>
              <w:tabs>
                <w:tab w:val="left" w:pos="845"/>
              </w:tabs>
              <w:ind w:left="845" w:right="14"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b. å gå over til en mer integrert tilnærming til infrastrukturplanlegging, investering og vedlikehold, blant annet ved å identifisere nye måter å arbeide med privat sektor på (det omfatter forbedring av internasjonal planlegging og investeringssamordning for å fremme styrkede øst-vest forbindelser)</w:t>
            </w:r>
          </w:p>
          <w:p w:rsidR="00CE3E66" w:rsidRPr="00716331" w:rsidRDefault="00CE3E66" w:rsidP="007E3BF7">
            <w:pPr>
              <w:shd w:val="clear" w:color="auto" w:fill="FFFFFF"/>
              <w:tabs>
                <w:tab w:val="left" w:pos="845"/>
              </w:tabs>
              <w:ind w:left="845" w:right="14"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c. å forbedre arbeidsmarkedenes fungering, for eksempel ved å harmonisere sertifisering og krav til ferdigheter for liknende yrker, og ved å fremme felles avtaler mellom utdanningsinstitusjoner </w:t>
            </w:r>
          </w:p>
          <w:p w:rsidR="00CE3E66" w:rsidRPr="00716331" w:rsidRDefault="00CE3E66" w:rsidP="007E3BF7">
            <w:pPr>
              <w:shd w:val="clear" w:color="auto" w:fill="FFFFFF"/>
              <w:tabs>
                <w:tab w:val="left" w:pos="845"/>
              </w:tabs>
              <w:ind w:left="845"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d. å arbeide for å fremme større samhandling blant lokale arbeidsmarkeder med felles trekk og muligheter i områder som høyere utdanning, forskning og innovasjon, spesielt når de er i forskjellige land  </w:t>
            </w:r>
          </w:p>
          <w:p w:rsidR="00CE3E66" w:rsidRPr="00716331" w:rsidRDefault="00CE3E66" w:rsidP="007E3BF7">
            <w:pPr>
              <w:shd w:val="clear" w:color="auto" w:fill="FFFFFF"/>
              <w:tabs>
                <w:tab w:val="left" w:pos="845"/>
              </w:tabs>
              <w:ind w:left="845" w:right="10"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e. oppfordring til en mer koordinert tilnærming de nordlige tynt befolkede områdene seg imellom til smart spesialisering som bygger på kjerneområder med absolutte fortrinn, sørger for bedre støtte til små og mellomstore bedrifter og nyetablerte foretak, for eksempel ved å adressere slike barrierer som tilgang til finanser, og fremmer tilgang til utenriksmarkeder </w:t>
            </w:r>
          </w:p>
          <w:p w:rsidR="00734EB6" w:rsidRPr="00716331" w:rsidRDefault="00734EB6" w:rsidP="007E3BF7">
            <w:pPr>
              <w:shd w:val="clear" w:color="auto" w:fill="FFFFFF"/>
              <w:tabs>
                <w:tab w:val="left" w:pos="845"/>
              </w:tabs>
              <w:ind w:left="845" w:hanging="374"/>
              <w:jc w:val="both"/>
              <w:rPr>
                <w:rFonts w:ascii="Times New Roman" w:hAnsi="Times New Roman" w:cs="Times New Roman"/>
                <w:sz w:val="22"/>
                <w:szCs w:val="22"/>
                <w:lang w:val="nb-NO"/>
              </w:rPr>
            </w:pPr>
          </w:p>
          <w:p w:rsidR="00E97723" w:rsidRPr="00E3722C" w:rsidRDefault="00E97723" w:rsidP="00E97723">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f. å knytte samesamfunn til regional og distriktsutviklingspolitikk på en bedre måte for å </w:t>
            </w:r>
            <w:r w:rsidR="00E4117C">
              <w:rPr>
                <w:rFonts w:ascii="Times New Roman" w:hAnsi="Times New Roman" w:cs="Times New Roman"/>
                <w:sz w:val="22"/>
                <w:szCs w:val="22"/>
                <w:lang w:val="nb-NO"/>
              </w:rPr>
              <w:t>bistå med</w:t>
            </w:r>
            <w:r w:rsidRPr="00E3722C">
              <w:rPr>
                <w:rFonts w:ascii="Times New Roman" w:hAnsi="Times New Roman" w:cs="Times New Roman"/>
                <w:sz w:val="22"/>
                <w:szCs w:val="22"/>
                <w:lang w:val="nb-NO"/>
              </w:rPr>
              <w:t xml:space="preserve"> nye sysselsettings- og forretningsmuligheter for lokale samfunn.  </w:t>
            </w:r>
          </w:p>
          <w:p w:rsidR="00E97723" w:rsidRPr="00E4117C" w:rsidRDefault="00E97723" w:rsidP="00734EB6">
            <w:pPr>
              <w:shd w:val="clear" w:color="auto" w:fill="FFFFFF"/>
              <w:ind w:left="851" w:right="86" w:hanging="425"/>
              <w:jc w:val="both"/>
              <w:rPr>
                <w:rFonts w:ascii="Times New Roman" w:hAnsi="Times New Roman" w:cs="Times New Roman"/>
                <w:sz w:val="22"/>
                <w:szCs w:val="22"/>
                <w:lang w:val="nb-NO"/>
              </w:rPr>
            </w:pPr>
          </w:p>
          <w:p w:rsidR="00734EB6" w:rsidRPr="00E97723" w:rsidRDefault="00E97723" w:rsidP="00E4117C">
            <w:pPr>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3. Styrke maktmekanismer i hvert land som fremmer en partnerskapstilnærming mellom nasjonale regjeringer og de nordlige tynt befolkede områdene til utforming og fremstilling av de viktigste sektorpolitikkene (utdanning og ferdigheter, helse, transport og bredbåndinfrastruktur, og innovasjon). En felles tilnærming til arbeid med de nordlige tynt befolkede områdene i hvert land vil hjelpe å sikre at politikken reflekterer </w:t>
            </w:r>
            <w:r w:rsidR="00E4117C">
              <w:rPr>
                <w:rFonts w:ascii="Times New Roman" w:hAnsi="Times New Roman" w:cs="Times New Roman"/>
                <w:sz w:val="22"/>
                <w:szCs w:val="22"/>
                <w:lang w:val="nb-NO"/>
              </w:rPr>
              <w:t xml:space="preserve">bedre </w:t>
            </w:r>
            <w:r w:rsidRPr="00E3722C">
              <w:rPr>
                <w:rFonts w:ascii="Times New Roman" w:hAnsi="Times New Roman" w:cs="Times New Roman"/>
                <w:sz w:val="22"/>
                <w:szCs w:val="22"/>
                <w:lang w:val="nb-NO"/>
              </w:rPr>
              <w:t xml:space="preserve">unike behov og forhold i disse regionene og stimulerer styrket samarbeid mellom regioner og kommuner (inkudert i de lokale arbeidsmarkedenes målestokk). </w:t>
            </w:r>
          </w:p>
        </w:tc>
      </w:tr>
    </w:tbl>
    <w:p w:rsidR="007E3BF7" w:rsidRPr="00E97723" w:rsidRDefault="007E3BF7" w:rsidP="0094564B">
      <w:pPr>
        <w:shd w:val="clear" w:color="auto" w:fill="FFFFFF"/>
        <w:rPr>
          <w:rFonts w:ascii="Times New Roman" w:hAnsi="Times New Roman" w:cs="Times New Roman"/>
          <w:sz w:val="22"/>
          <w:szCs w:val="22"/>
          <w:lang w:val="nb-NO"/>
        </w:rPr>
      </w:pPr>
    </w:p>
    <w:p w:rsidR="009C645B" w:rsidRPr="00E97723" w:rsidRDefault="009C645B" w:rsidP="0094564B">
      <w:pPr>
        <w:shd w:val="clear" w:color="auto" w:fill="FFFFFF"/>
        <w:ind w:left="859" w:right="14" w:hanging="374"/>
        <w:jc w:val="both"/>
        <w:rPr>
          <w:rFonts w:ascii="Times New Roman" w:hAnsi="Times New Roman" w:cs="Times New Roman"/>
          <w:sz w:val="22"/>
          <w:szCs w:val="22"/>
          <w:lang w:val="nb-NO"/>
        </w:rPr>
        <w:sectPr w:rsidR="009C645B" w:rsidRPr="00E97723">
          <w:pgSz w:w="11909" w:h="16834"/>
          <w:pgMar w:top="1440" w:right="1467" w:bottom="720" w:left="2277" w:header="720" w:footer="720" w:gutter="0"/>
          <w:cols w:space="60"/>
          <w:noEndnote/>
        </w:sectPr>
      </w:pPr>
    </w:p>
    <w:p w:rsidR="00E97723" w:rsidRPr="00CD5FDF" w:rsidRDefault="00B36416" w:rsidP="00E97723">
      <w:pPr>
        <w:jc w:val="both"/>
        <w:rPr>
          <w:rFonts w:ascii="Times New Roman" w:hAnsi="Times New Roman" w:cs="Times New Roman"/>
          <w:b/>
          <w:sz w:val="24"/>
          <w:szCs w:val="22"/>
          <w:lang w:val="nb-NO"/>
        </w:rPr>
      </w:pPr>
      <w:r>
        <w:rPr>
          <w:rFonts w:ascii="Times New Roman" w:hAnsi="Times New Roman" w:cs="Times New Roman"/>
          <w:b/>
          <w:sz w:val="24"/>
          <w:szCs w:val="22"/>
          <w:lang w:val="nb-NO"/>
        </w:rPr>
        <w:lastRenderedPageBreak/>
        <w:t>NSPA</w:t>
      </w:r>
      <w:r w:rsidR="00E97723" w:rsidRPr="00CD5FDF">
        <w:rPr>
          <w:rFonts w:ascii="Times New Roman" w:hAnsi="Times New Roman" w:cs="Times New Roman"/>
          <w:b/>
          <w:sz w:val="24"/>
          <w:szCs w:val="22"/>
          <w:lang w:val="nb-NO"/>
        </w:rPr>
        <w:t xml:space="preserve"> -anbefalinger for Finland</w:t>
      </w:r>
    </w:p>
    <w:p w:rsidR="00734EB6" w:rsidRPr="00E97723" w:rsidRDefault="00734EB6" w:rsidP="0094564B">
      <w:pPr>
        <w:shd w:val="clear" w:color="auto" w:fill="FFFFFF"/>
        <w:ind w:left="24"/>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69504" behindDoc="0" locked="0" layoutInCell="1" allowOverlap="1" wp14:anchorId="12E5E6D4" wp14:editId="18D51062">
                <wp:simplePos x="0" y="0"/>
                <wp:positionH relativeFrom="column">
                  <wp:posOffset>19050</wp:posOffset>
                </wp:positionH>
                <wp:positionV relativeFrom="paragraph">
                  <wp:posOffset>134620</wp:posOffset>
                </wp:positionV>
                <wp:extent cx="24384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4384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DA8F0" id="Прямая соединительная линия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0.6pt" to="1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" strokecolor="blue"/>
            </w:pict>
          </mc:Fallback>
        </mc:AlternateContent>
      </w:r>
    </w:p>
    <w:p w:rsidR="00E97723"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Regioner i Nord- og Øst-Finland gir et </w:t>
      </w:r>
    </w:p>
    <w:p w:rsidR="00E97723"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viktig bidrag til nasjonal økonomi, særlig </w:t>
      </w:r>
    </w:p>
    <w:p w:rsidR="009C645B"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gjennom varesektor </w:t>
      </w:r>
    </w:p>
    <w:p w:rsidR="00734EB6" w:rsidRPr="00E97723" w:rsidRDefault="00734EB6" w:rsidP="0094564B">
      <w:pPr>
        <w:shd w:val="clear" w:color="auto" w:fill="FFFFFF"/>
        <w:ind w:left="24" w:right="4838"/>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71552" behindDoc="0" locked="0" layoutInCell="1" allowOverlap="1" wp14:anchorId="40E25060" wp14:editId="4532455F">
                <wp:simplePos x="0" y="0"/>
                <wp:positionH relativeFrom="column">
                  <wp:posOffset>19050</wp:posOffset>
                </wp:positionH>
                <wp:positionV relativeFrom="paragraph">
                  <wp:posOffset>36195</wp:posOffset>
                </wp:positionV>
                <wp:extent cx="24384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4384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04C63" id="Прямая соединительная линия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2.85pt" to="1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" strokecolor="blue"/>
            </w:pict>
          </mc:Fallback>
        </mc:AlternateContent>
      </w:r>
    </w:p>
    <w:p w:rsidR="00E97723" w:rsidRPr="00E3722C" w:rsidRDefault="00E97723" w:rsidP="00E97723">
      <w:pPr>
        <w:ind w:firstLine="64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Regioner i Nord- og Øst-Finland (Midt-Østerbotten, Kainuu, Lappland, Nord-Karelen, Nord-Østerbotten, Nordsavo og Sør-Savo) gir et viktig bidrag til økonomisk vekst og velferd i landet. De sju regionene utgjør 19.6% av landets økonomi, 23.9% av befolkning og 66.9% av fastlandsområde. De er en sentral del av Finlands økonomi på grunn av handelsvarer og relatert produksjon for eksport (for eksempel tømmer, cellulose- og papirprodukter, teknologier, kjemikalier og mineraler), tjenester (knyttet til turisme og IKT) og sine viktige miljømessige aktiva (ferskt vann og villmarksområder). Eksportøkning fra Nord- og Øst-Finland har betydelige fordeler for den nasjonale økonomien og Helsinki gjennom forbindelser relatert til transport og logistikk, suksessiv bearbeiding og krav om faglige, vitenskapelige og tekniske tjenester. </w:t>
      </w:r>
    </w:p>
    <w:p w:rsidR="009C645B" w:rsidRPr="00716331" w:rsidRDefault="009C645B" w:rsidP="0094564B">
      <w:pPr>
        <w:shd w:val="clear" w:color="auto" w:fill="FFFFFF"/>
        <w:ind w:left="691" w:firstLine="341"/>
        <w:jc w:val="both"/>
        <w:rPr>
          <w:rFonts w:ascii="Times New Roman" w:hAnsi="Times New Roman" w:cs="Times New Roman"/>
          <w:sz w:val="22"/>
          <w:szCs w:val="22"/>
          <w:lang w:val="nb-NO"/>
        </w:rPr>
      </w:pPr>
    </w:p>
    <w:p w:rsidR="00E97723" w:rsidRPr="00E3722C" w:rsidRDefault="00E97723" w:rsidP="00E97723">
      <w:pPr>
        <w:ind w:firstLine="648"/>
        <w:jc w:val="both"/>
        <w:rPr>
          <w:rFonts w:ascii="Times New Roman" w:hAnsi="Times New Roman" w:cs="Times New Roman"/>
          <w:sz w:val="22"/>
          <w:szCs w:val="22"/>
          <w:lang w:val="nb-NO"/>
        </w:rPr>
      </w:pPr>
      <w:r w:rsidRPr="00E3722C">
        <w:rPr>
          <w:rFonts w:ascii="Times New Roman" w:hAnsi="Times New Roman" w:cs="Times New Roman"/>
          <w:sz w:val="22"/>
          <w:szCs w:val="22"/>
          <w:lang w:val="nb-NO"/>
        </w:rPr>
        <w:t xml:space="preserve">Den røde tråden som binder vekstdynamikken i disse regionene sammen er et lite omfang av absolutte fortrinn knyttet til deres naturkapital og beliggenhetsfordeler. Regioner i Øst-Finland som ligger nær grense mot Russland, har liknende fortrinn. De har skogressurser, innsjøer og villmarksområder, og nærhet til Russland. I skiftende grad har disse regionene utviklet merverdiservice og produksjon knyttet til disse fordelene. Nordsavo (Kuopio) og Nord-Karelen (Joensuu) drar også nytte av utviklingsdynamikk knyttet til sine viktige bybosettinger som har muliggjort gruppering av økonomisk aktivitet, samt forsknings- og utdanningsinstitusjoner. For Midt- og Nord-Østerbotten har Bottenvikens beliggenhetsfordeler vært viktige for historisk utvikling av deres økonomi. Som handelshavner har de utviklet et industrielt grunnlag som gradvis har utfoldet seg til kommunikasjons- og helseteknologier og stålforedling (Nord-Østerbotten), og kjemisk produksjon (Midt-Østerbotten). Lappland har likhetstrekk med de østlige regionene, men er forskjellig på grunn av sin beliggenhet nærmere Arktis og en viktig rolle av råvareforbrukende industrier og turisme i sitt økonomiske grunnlag. Til slutt er det viktig å poengtere at alle regionene har felles mulighet for markant vekst av naturbasert turisme, skjønt i forskjellige former. </w:t>
      </w:r>
    </w:p>
    <w:p w:rsidR="008A6BBF" w:rsidRPr="00716331" w:rsidRDefault="008A6BBF" w:rsidP="008A6BBF">
      <w:pPr>
        <w:shd w:val="clear" w:color="auto" w:fill="FFFFFF"/>
        <w:ind w:left="648" w:right="1" w:firstLine="331"/>
        <w:jc w:val="both"/>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73600" behindDoc="0" locked="0" layoutInCell="1" allowOverlap="1" wp14:anchorId="349C26D4" wp14:editId="658A5A45">
                <wp:simplePos x="0" y="0"/>
                <wp:positionH relativeFrom="column">
                  <wp:posOffset>19050</wp:posOffset>
                </wp:positionH>
                <wp:positionV relativeFrom="paragraph">
                  <wp:posOffset>102235</wp:posOffset>
                </wp:positionV>
                <wp:extent cx="2438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4384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8B69D" id="Прямая соединительная линия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8.05pt" to="19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" strokecolor="blue"/>
            </w:pict>
          </mc:Fallback>
        </mc:AlternateContent>
      </w:r>
    </w:p>
    <w:p w:rsidR="00E97723"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I det siste har økonomisk fungering vært </w:t>
      </w:r>
    </w:p>
    <w:p w:rsidR="00E97723"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dårlig delvis på grunn av utfordrende </w:t>
      </w:r>
    </w:p>
    <w:p w:rsidR="00E97723" w:rsidRPr="00CD5FDF" w:rsidRDefault="00E97723" w:rsidP="00E97723">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makroøkonomiske forhold </w:t>
      </w:r>
    </w:p>
    <w:p w:rsidR="008A6BBF" w:rsidRPr="00716331" w:rsidRDefault="008A6BBF" w:rsidP="0094564B">
      <w:pPr>
        <w:shd w:val="clear" w:color="auto" w:fill="FFFFFF"/>
        <w:ind w:right="5242"/>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75648" behindDoc="0" locked="0" layoutInCell="1" allowOverlap="1" wp14:anchorId="07B5FF4F" wp14:editId="6C101EF0">
                <wp:simplePos x="0" y="0"/>
                <wp:positionH relativeFrom="column">
                  <wp:posOffset>19050</wp:posOffset>
                </wp:positionH>
                <wp:positionV relativeFrom="paragraph">
                  <wp:posOffset>50165</wp:posOffset>
                </wp:positionV>
                <wp:extent cx="24384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43840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1E24D" id="Прямая соединительная линия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3.95pt" to="1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" strokecolor="blue"/>
            </w:pict>
          </mc:Fallback>
        </mc:AlternateContent>
      </w:r>
    </w:p>
    <w:p w:rsidR="00C2430D" w:rsidRPr="00C2430D" w:rsidRDefault="00C2430D" w:rsidP="00C2430D">
      <w:pPr>
        <w:ind w:firstLine="653"/>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Når det gjelder BNP-nivå per innbygger, ligger alle finske </w:t>
      </w:r>
      <w:r w:rsidR="00B36416">
        <w:rPr>
          <w:rFonts w:ascii="Times New Roman" w:hAnsi="Times New Roman" w:cs="Times New Roman"/>
          <w:sz w:val="24"/>
          <w:szCs w:val="24"/>
          <w:lang w:val="nb-NO"/>
        </w:rPr>
        <w:t>NSPA</w:t>
      </w:r>
      <w:r>
        <w:rPr>
          <w:rFonts w:ascii="Times New Roman" w:hAnsi="Times New Roman" w:cs="Times New Roman"/>
          <w:sz w:val="24"/>
          <w:szCs w:val="24"/>
          <w:lang w:val="nb-NO"/>
        </w:rPr>
        <w:t xml:space="preserve">-områdene lavere enn OECD-gjennomsnitt på USD 35 812 og landsnivå på USD 38 359. Forskjell fra landsnivå varierer fra -27% (Kainuu) til -12% (Midt-Østerbotten). Fire av sju regioner nærmet seg landsnivå av BNP per innbygger i perioden 1995-2012: Midt-Østerbotten (minsket avstanden med 14%), Sør-Savo (minsket avstanden med 4%), Nord-Karelen (minsket avstanden med 3%) og Nordsavo (minsket avstanden med 1%). De tre resterende regionene ligger fortsatt etter nasjonalt nivå og kom videre på etterskudd i perioden 1995-2012: Lappland (med -7%), Nord-Østerbotten (med -6%) og Kainuu (med -11%). </w:t>
      </w:r>
      <w:r w:rsidRPr="00C2430D">
        <w:rPr>
          <w:rFonts w:ascii="Times New Roman" w:hAnsi="Times New Roman" w:cs="Times New Roman"/>
          <w:sz w:val="24"/>
          <w:szCs w:val="24"/>
          <w:lang w:val="nb-NO"/>
        </w:rPr>
        <w:t xml:space="preserve">Dette resultatet understreker betydningen av produktivitetsøkning for disse regionene.  </w:t>
      </w:r>
    </w:p>
    <w:p w:rsidR="00286140" w:rsidRPr="00C2430D" w:rsidRDefault="00286140" w:rsidP="008A6BBF">
      <w:pPr>
        <w:shd w:val="clear" w:color="auto" w:fill="FFFFFF"/>
        <w:ind w:left="653" w:right="1" w:firstLine="341"/>
        <w:jc w:val="both"/>
        <w:rPr>
          <w:rFonts w:ascii="Times New Roman" w:hAnsi="Times New Roman" w:cs="Times New Roman"/>
          <w:sz w:val="22"/>
          <w:szCs w:val="22"/>
          <w:lang w:val="nb-NO"/>
        </w:rPr>
      </w:pPr>
    </w:p>
    <w:p w:rsidR="00CD5FDF" w:rsidRDefault="00C2430D" w:rsidP="00C2430D">
      <w:pPr>
        <w:ind w:firstLine="653"/>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Regionenes innsats i Nord- og Øst-Finland må også evalueres innenfor rammen av utfordrende makroøkonomiske forhold i landet, spesielt etter finanskrisen. Landet har blitt hardt rammet av tre eksterne støt: markedsnedgang for elektroeksport, lavere etterspørsel etter papir, og sammenbrudd i eksportmarkeder rettet mot Russland på grunn av sanksjoner. </w:t>
      </w:r>
    </w:p>
    <w:p w:rsidR="00CD5FDF" w:rsidRDefault="00CD5FDF">
      <w:pPr>
        <w:widowControl/>
        <w:autoSpaceDE/>
        <w:autoSpaceDN/>
        <w:adjustRightInd/>
        <w:spacing w:after="200" w:line="276" w:lineRule="auto"/>
        <w:rPr>
          <w:rFonts w:ascii="Times New Roman" w:hAnsi="Times New Roman" w:cs="Times New Roman"/>
          <w:sz w:val="24"/>
          <w:szCs w:val="24"/>
          <w:lang w:val="nb-NO"/>
        </w:rPr>
      </w:pPr>
      <w:r>
        <w:rPr>
          <w:rFonts w:ascii="Times New Roman" w:hAnsi="Times New Roman" w:cs="Times New Roman"/>
          <w:sz w:val="24"/>
          <w:szCs w:val="24"/>
          <w:lang w:val="nb-NO"/>
        </w:rPr>
        <w:br w:type="page"/>
      </w:r>
    </w:p>
    <w:p w:rsidR="00C2430D" w:rsidRPr="00B36416" w:rsidRDefault="00C2430D" w:rsidP="00CD5FDF">
      <w:pPr>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Fra begynnelsen av 2000-årene har det vært en strukturnedgang i markeder for papir og cellulose </w:t>
      </w:r>
      <w:r w:rsidRPr="00995AB0">
        <w:rPr>
          <w:rFonts w:ascii="Times New Roman" w:hAnsi="Times New Roman" w:cs="Times New Roman"/>
          <w:sz w:val="24"/>
          <w:szCs w:val="24"/>
          <w:lang w:val="nb-NO"/>
        </w:rPr>
        <w:t>som kunne hatt</w:t>
      </w:r>
      <w:r>
        <w:rPr>
          <w:rFonts w:ascii="Times New Roman" w:hAnsi="Times New Roman" w:cs="Times New Roman"/>
          <w:sz w:val="24"/>
          <w:szCs w:val="24"/>
          <w:lang w:val="nb-NO"/>
        </w:rPr>
        <w:t xml:space="preserve"> en større uforholdsmessig innvirkning på de finske tynt befolkede områdene. Disse eksterne støtene har hatt en betydelig innflytelse på Finlands økonomiske innsats. I 2015 var produksjonen 7% lavere enn 2007-nivå. Ressursbaserte eksportindustrier har videre blitt utfordret av manglende evne til å forringe verdien av nasjonal valuta og rigide prosesser rundt lønnsforhandlinger. </w:t>
      </w:r>
    </w:p>
    <w:p w:rsidR="00CD5FDF" w:rsidRPr="00B36416" w:rsidRDefault="00CD5FDF" w:rsidP="00CD5FDF">
      <w:pPr>
        <w:jc w:val="both"/>
        <w:rPr>
          <w:rFonts w:ascii="Times New Roman" w:hAnsi="Times New Roman" w:cs="Times New Roman"/>
          <w:sz w:val="24"/>
          <w:szCs w:val="24"/>
          <w:lang w:val="nb-NO"/>
        </w:rPr>
      </w:pPr>
    </w:p>
    <w:p w:rsidR="00286140" w:rsidRPr="00716331" w:rsidRDefault="00286140" w:rsidP="0094564B">
      <w:pPr>
        <w:shd w:val="clear" w:color="auto" w:fill="FFFFFF"/>
        <w:ind w:left="706" w:right="29"/>
        <w:jc w:val="both"/>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77696" behindDoc="0" locked="0" layoutInCell="1" allowOverlap="1" wp14:anchorId="4E0530B0" wp14:editId="3829BD09">
                <wp:simplePos x="0" y="0"/>
                <wp:positionH relativeFrom="column">
                  <wp:posOffset>66675</wp:posOffset>
                </wp:positionH>
                <wp:positionV relativeFrom="paragraph">
                  <wp:posOffset>124460</wp:posOffset>
                </wp:positionV>
                <wp:extent cx="265747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574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122E9" id="Прямая соединительная линия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8pt" to="2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" strokecolor="blue"/>
            </w:pict>
          </mc:Fallback>
        </mc:AlternateContent>
      </w:r>
    </w:p>
    <w:p w:rsidR="00A54812" w:rsidRPr="00CD5FDF" w:rsidRDefault="00A54812" w:rsidP="00A54812">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Økt økonomisk innsats av </w:t>
      </w:r>
      <w:r w:rsidR="00B36416">
        <w:rPr>
          <w:rFonts w:ascii="Times New Roman" w:hAnsi="Times New Roman" w:cs="Times New Roman"/>
          <w:i/>
          <w:color w:val="0000FF"/>
          <w:sz w:val="22"/>
          <w:szCs w:val="22"/>
          <w:lang w:val="nb-NO"/>
        </w:rPr>
        <w:t>NSPA</w:t>
      </w:r>
      <w:r w:rsidRPr="00CD5FDF">
        <w:rPr>
          <w:rFonts w:ascii="Times New Roman" w:hAnsi="Times New Roman" w:cs="Times New Roman"/>
          <w:i/>
          <w:color w:val="0000FF"/>
          <w:sz w:val="22"/>
          <w:szCs w:val="22"/>
          <w:lang w:val="nb-NO"/>
        </w:rPr>
        <w:t xml:space="preserve"> i Finland vil </w:t>
      </w:r>
    </w:p>
    <w:p w:rsidR="00A54812" w:rsidRPr="00CD5FDF" w:rsidRDefault="00A54812" w:rsidP="00A54812">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kreve en integrert tilnærming av nasjonale og </w:t>
      </w:r>
    </w:p>
    <w:p w:rsidR="00A54812" w:rsidRPr="00CD5FDF" w:rsidRDefault="00A54812" w:rsidP="00A54812">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regionale regjeringer til investering i </w:t>
      </w:r>
    </w:p>
    <w:p w:rsidR="00A54812" w:rsidRPr="00CD5FDF" w:rsidRDefault="00A54812" w:rsidP="00A54812">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muliggjørende faktorer for produktivitetsvekst </w:t>
      </w:r>
    </w:p>
    <w:p w:rsidR="00A54812" w:rsidRPr="00CD5FDF" w:rsidRDefault="00A54812" w:rsidP="00A54812">
      <w:pPr>
        <w:jc w:val="both"/>
        <w:rPr>
          <w:rFonts w:ascii="Times New Roman" w:hAnsi="Times New Roman" w:cs="Times New Roman"/>
          <w:i/>
          <w:color w:val="0000FF"/>
          <w:sz w:val="22"/>
          <w:szCs w:val="22"/>
          <w:lang w:val="nb-NO"/>
        </w:rPr>
      </w:pPr>
      <w:r w:rsidRPr="00CD5FDF">
        <w:rPr>
          <w:rFonts w:ascii="Times New Roman" w:hAnsi="Times New Roman" w:cs="Times New Roman"/>
          <w:i/>
          <w:color w:val="0000FF"/>
          <w:sz w:val="22"/>
          <w:szCs w:val="22"/>
          <w:lang w:val="nb-NO"/>
        </w:rPr>
        <w:t xml:space="preserve">på regionalt nivå </w:t>
      </w:r>
    </w:p>
    <w:p w:rsidR="00286140" w:rsidRPr="00716331" w:rsidRDefault="00286140" w:rsidP="0094564B">
      <w:pPr>
        <w:shd w:val="clear" w:color="auto" w:fill="FFFFFF"/>
        <w:ind w:left="706" w:firstLine="341"/>
        <w:jc w:val="both"/>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79744" behindDoc="0" locked="0" layoutInCell="1" allowOverlap="1" wp14:anchorId="32473F42" wp14:editId="7252992C">
                <wp:simplePos x="0" y="0"/>
                <wp:positionH relativeFrom="column">
                  <wp:posOffset>19050</wp:posOffset>
                </wp:positionH>
                <wp:positionV relativeFrom="paragraph">
                  <wp:posOffset>-1270</wp:posOffset>
                </wp:positionV>
                <wp:extent cx="265747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6574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EC3A7" id="Прямая соединительная линия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21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" strokecolor="blue"/>
            </w:pict>
          </mc:Fallback>
        </mc:AlternateContent>
      </w:r>
    </w:p>
    <w:p w:rsidR="00CD5FDF" w:rsidRPr="00B36416" w:rsidRDefault="00CD5FDF" w:rsidP="00530532">
      <w:pPr>
        <w:ind w:firstLine="706"/>
        <w:jc w:val="both"/>
        <w:rPr>
          <w:rFonts w:ascii="Times New Roman" w:hAnsi="Times New Roman" w:cs="Times New Roman"/>
          <w:sz w:val="22"/>
          <w:szCs w:val="22"/>
          <w:lang w:val="nb-NO"/>
        </w:rPr>
      </w:pPr>
    </w:p>
    <w:p w:rsidR="00530532" w:rsidRPr="005E4ACB" w:rsidRDefault="00530532" w:rsidP="00530532">
      <w:pPr>
        <w:ind w:firstLine="706"/>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Regjeringens økonomiske program fokuserer på forbedring av den finske industriens kostnadsmessige konkurranseevne og økonomiens motstandsdyktighet mot endringer gjennom blant annet lønnsmoderasjon og finanskonsolidering. Regjeringen setter også i gang en viktig reform av regionalt nivå som vil resultere i etablering av nye utpekte autonome regioner med tilleggsansvar for helse og sosial omsorg. Denne økonomiske og reformkonteksten skal ha viktige konsekvenser for de nordlige tynt befolkede områdene. I et midtsiktig perspektiv skal eksporten bli viktig for Finlands oppgang takket være langsom økning i husholdningsinntekter og lavere offentlige utgifter. De finske nordlige tynt befolkede områdene vil spille en viktig rolle i denne økningsstrategien på grunn av eksportorientering av sin økonomi. Det kreves likevel sammenhengende anstrengelser for å utvikle nye produkter og markeder gjennom investering i sentrale faktorer som muliggjør produktivitetsøkning (innovasjon, ferdigheter og infrastruktur). Fordi regioner skal ha mer autonomi og ressurser, er det viktig at de har større muligheter til å tilpasse nasjonal politikkutvikling (for eksempel innen utdanning eller infrastruktur). Det trengs også å overveie grundig og mestre innvirkninger av finanskonsolidering på infrastrukturens og servicekvalitet innenfor de nordlige tynt befolkede områdene.  </w:t>
      </w:r>
    </w:p>
    <w:p w:rsidR="009C645B" w:rsidRPr="00716331" w:rsidRDefault="009C645B" w:rsidP="0094564B">
      <w:pPr>
        <w:shd w:val="clear" w:color="auto" w:fill="FFFFFF"/>
        <w:ind w:left="706" w:firstLine="341"/>
        <w:jc w:val="both"/>
        <w:rPr>
          <w:rFonts w:ascii="Times New Roman" w:hAnsi="Times New Roman" w:cs="Times New Roman"/>
          <w:sz w:val="22"/>
          <w:szCs w:val="22"/>
          <w:lang w:val="nb-NO"/>
        </w:rPr>
      </w:pPr>
    </w:p>
    <w:p w:rsidR="00530532" w:rsidRPr="005E4ACB" w:rsidRDefault="00530532" w:rsidP="00530532">
      <w:pPr>
        <w:ind w:firstLine="667"/>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En plassbasert tilnærming til regional utvikling vil være avgjørende i utvikling og levering av denne tilnærmingen til investering i sentrale fremmende faktorer i Nord- og Øst-Finland. Finlands regionale politikk </w:t>
      </w:r>
      <w:r w:rsidRPr="005E4ACB">
        <w:rPr>
          <w:rFonts w:ascii="Times New Roman" w:hAnsi="Times New Roman" w:cs="Times New Roman"/>
          <w:i/>
          <w:sz w:val="22"/>
          <w:szCs w:val="22"/>
          <w:lang w:val="nb-NO"/>
        </w:rPr>
        <w:t>Konkurransedyktige regioner og rolig hverdagsliv</w:t>
      </w:r>
      <w:r w:rsidRPr="005E4ACB">
        <w:rPr>
          <w:rFonts w:ascii="Times New Roman" w:hAnsi="Times New Roman" w:cs="Times New Roman"/>
          <w:sz w:val="22"/>
          <w:szCs w:val="22"/>
          <w:lang w:val="nb-NO"/>
        </w:rPr>
        <w:t xml:space="preserve"> (2016-2019) sørger for et strategisk rammeverk for regjeringens regionale utviklingsprioriteter. Utviklingsstrategi i hver region anvender dette rammeverket for sine behov og forhold. Dette politikkrammeverket er relativt trangt og fokuserer primært på forretningsmessig konkurransedyktighet, mens sosiale og miljøformål har mindre betydning. På regionalt nivå reflekterer hovedsakelig gjeldende prioriteter i regional utvikling Det europeiske fond for regional utvikling (ERDF) og Det europeiske sosialfond (ESF) som fokuserer på slike prioriteter som innovasjon og entreprenørskap, samt ferdigheter og arbeidskraftens engasjement. Det er likevel viktig å utvide fokuset. Realisering av vekstpotensialet i disse regionene skal avhenge av utvidelse av politikkrammeverk for regional utvikling, for eksempel ved å ta del i og påvirke effektivt nasjonal sektorpolitikk, spesielt utdanning og ferdigheter, innovasjon og transportinfrastruktur. Regjeringens gjeldende program for regionale reformer gir muligheter for å implementere en bredere tilnærming til regional utviklingspolitikk som effektivt skal integrere EUs struktur- og investeringsfond (ESIF) og slike områder av nasjonal og lokal politikk som infrastruktur, innovasjon, samt utdanning og opplæring. </w:t>
      </w:r>
    </w:p>
    <w:p w:rsidR="00CD5FDF" w:rsidRDefault="00CD5FDF">
      <w:pPr>
        <w:widowControl/>
        <w:autoSpaceDE/>
        <w:autoSpaceDN/>
        <w:adjustRightInd/>
        <w:spacing w:after="200" w:line="276" w:lineRule="auto"/>
        <w:rPr>
          <w:rFonts w:ascii="Times New Roman" w:hAnsi="Times New Roman" w:cs="Times New Roman"/>
          <w:sz w:val="22"/>
          <w:szCs w:val="22"/>
          <w:lang w:val="nb-NO"/>
        </w:rPr>
      </w:pPr>
      <w:r>
        <w:rPr>
          <w:rFonts w:ascii="Times New Roman" w:hAnsi="Times New Roman" w:cs="Times New Roman"/>
          <w:sz w:val="22"/>
          <w:szCs w:val="22"/>
          <w:lang w:val="nb-NO"/>
        </w:rPr>
        <w:br w:type="page"/>
      </w:r>
    </w:p>
    <w:p w:rsidR="00286140" w:rsidRPr="00716331" w:rsidRDefault="00286140">
      <w:pPr>
        <w:widowControl/>
        <w:autoSpaceDE/>
        <w:autoSpaceDN/>
        <w:adjustRightInd/>
        <w:spacing w:after="200" w:line="276" w:lineRule="auto"/>
        <w:rPr>
          <w:rFonts w:ascii="Times New Roman" w:hAnsi="Times New Roman" w:cs="Times New Roman"/>
          <w:sz w:val="22"/>
          <w:szCs w:val="22"/>
          <w:lang w:val="nb-NO"/>
        </w:rPr>
      </w:pPr>
    </w:p>
    <w:tbl>
      <w:tblPr>
        <w:tblStyle w:val="Tabellrutenett"/>
        <w:tblW w:w="0" w:type="auto"/>
        <w:tblInd w:w="392" w:type="dxa"/>
        <w:tblLook w:val="04A0" w:firstRow="1" w:lastRow="0" w:firstColumn="1" w:lastColumn="0" w:noHBand="0" w:noVBand="1"/>
      </w:tblPr>
      <w:tblGrid>
        <w:gridCol w:w="8771"/>
      </w:tblGrid>
      <w:tr w:rsidR="00286140" w:rsidRPr="00B36416" w:rsidTr="00D705BB">
        <w:tc>
          <w:tcPr>
            <w:tcW w:w="8771" w:type="dxa"/>
          </w:tcPr>
          <w:p w:rsidR="00530532" w:rsidRPr="00530532" w:rsidRDefault="00530532" w:rsidP="00530532">
            <w:pPr>
              <w:jc w:val="center"/>
              <w:rPr>
                <w:rFonts w:ascii="Times New Roman" w:hAnsi="Times New Roman" w:cs="Times New Roman"/>
                <w:b/>
                <w:sz w:val="22"/>
                <w:szCs w:val="22"/>
                <w:lang w:val="nb-NO"/>
              </w:rPr>
            </w:pPr>
            <w:r w:rsidRPr="00530532">
              <w:rPr>
                <w:rFonts w:ascii="Times New Roman" w:hAnsi="Times New Roman" w:cs="Times New Roman"/>
                <w:b/>
                <w:sz w:val="22"/>
                <w:szCs w:val="22"/>
                <w:lang w:val="nb-NO"/>
              </w:rPr>
              <w:t>Anbefalinger på nasjonalt nivå for å støtte utviklingen i Nord- og Øst-Finland</w:t>
            </w:r>
          </w:p>
          <w:p w:rsidR="00530532" w:rsidRPr="005E4ACB"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1. Forbedre effekter av transportnettverk i Nord- og Øst-Finland ved:</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a. å samarbeide med noen pilotregioner om utvikling </w:t>
            </w:r>
            <w:r w:rsidR="00A54812">
              <w:rPr>
                <w:rFonts w:ascii="Times New Roman" w:hAnsi="Times New Roman" w:cs="Times New Roman"/>
                <w:sz w:val="22"/>
                <w:szCs w:val="22"/>
                <w:lang w:val="nb-NO"/>
              </w:rPr>
              <w:t xml:space="preserve">av </w:t>
            </w:r>
            <w:r w:rsidRPr="005E4ACB">
              <w:rPr>
                <w:rFonts w:ascii="Times New Roman" w:hAnsi="Times New Roman" w:cs="Times New Roman"/>
                <w:sz w:val="22"/>
                <w:szCs w:val="22"/>
                <w:lang w:val="nb-NO"/>
              </w:rPr>
              <w:t xml:space="preserve">en langsiktig infrastrukturplan (integrert med og tilpasset til deres plan for regional utvikling og jordas utnyttelse) for å sørge for et felles rammeverk for veiledning i beslutningstaking for nasjonal regjering, lokale kommuner og aktører i privat sektor når det gjelder transport- og kommunikasjonsnettverk, samt vann- og energiinfrastruktur (og innføre dem i andre regioner i etterfølgende år) </w:t>
            </w:r>
          </w:p>
          <w:p w:rsidR="00530532" w:rsidRPr="005E4ACB"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b. å styrke samarbeidet på tvers av de nordlige tynt befolkede områdene for å utvikle felles prioriteter for investering i transportnettverk som er integrert i syklus for nasjonal transportplanlegging (ved å anerkjenne deres unike status som tynt befolkede områder), samordning med naboland og forsøk på å påvirke infrastrukturpolitikk på europeisk nivå (for eksempel Europakommisjonens prosjekter innen de transeuropeiske transportnettverk (TEN-T)). </w:t>
            </w:r>
          </w:p>
          <w:p w:rsidR="00530532" w:rsidRPr="005E4ACB"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2. Støtte bedre resultater av entreprenørskap og innovasjon i Nord- og Øst-Finland ved:</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a. å styrke tilskyndelser og støtte gjennom nasjonale programmer for å engasjere små og mellomstore bedrifter i distriktene i Nord- og Øst-Finland i innovasjonsinitiativer (særlig relatert til bioøkonomi) og sørge for at dette er komplementært til initiativer finansiert gjennom Det europeiske fond for regional utvikling (ERDF) og Det europeiske landbruksfond for distriktsutvikling (EAFRD)</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b. å sørge for kapasitets- og teknisk støtte til nyetablerte forretninger og små og mellomstore bedrifter for å </w:t>
            </w:r>
            <w:r w:rsidR="00531F9A">
              <w:rPr>
                <w:rFonts w:ascii="Times New Roman" w:hAnsi="Times New Roman" w:cs="Times New Roman"/>
                <w:sz w:val="22"/>
                <w:szCs w:val="22"/>
                <w:lang w:val="nb-NO"/>
              </w:rPr>
              <w:t>få</w:t>
            </w:r>
            <w:r w:rsidRPr="005E4ACB">
              <w:rPr>
                <w:rFonts w:ascii="Times New Roman" w:hAnsi="Times New Roman" w:cs="Times New Roman"/>
                <w:sz w:val="22"/>
                <w:szCs w:val="22"/>
                <w:lang w:val="nb-NO"/>
              </w:rPr>
              <w:t xml:space="preserve"> tilgang til finansinstrumenter (subsidierte lån og garantier) gjennom Det europeiske fond for regional utvikling (ERDF) for å supplere bevilgningsbasert finansiering </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c. å fortsette å støtte initiativer (slike som regionale klynger) som gjør det mulig for lokale mikrobedrifter og små og mellomstore bedrifter å ha større skala- og tilgangsmuligheter i utenriksmarkeder, og støtte dem for å gi tilgang til nasjonale forsknings- og innovasjonsressurser (det er spesielt viktig for spesialiserte tjenester og nisjeproduksjon innen skogbrukets forsyningskjede)</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d. å løfte Nord-Finlands (Lappland, Kainuu og Nord-Østerbotten) og Innsjødistriktets (Lakeland) rolle som internasjonale turistdestinasjoner innenfor den nasjonale strategien for turismeøkning og -utvikling og sørge for støtte til regioner for å igangsette felles planlegging og prioritering av turismeutvikling på tvers av disse områdene </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e. å oppfordre de nordlige tynt befolkede områdene til å samarbeide om felles muligheter knyttet til </w:t>
            </w:r>
            <w:r w:rsidR="00531F9A">
              <w:rPr>
                <w:rFonts w:ascii="Times New Roman" w:hAnsi="Times New Roman" w:cs="Times New Roman"/>
                <w:sz w:val="22"/>
                <w:szCs w:val="22"/>
                <w:lang w:val="nb-NO"/>
              </w:rPr>
              <w:t>deres</w:t>
            </w:r>
            <w:r w:rsidRPr="005E4ACB">
              <w:rPr>
                <w:rFonts w:ascii="Times New Roman" w:hAnsi="Times New Roman" w:cs="Times New Roman"/>
                <w:sz w:val="22"/>
                <w:szCs w:val="22"/>
                <w:lang w:val="nb-NO"/>
              </w:rPr>
              <w:t xml:space="preserve"> smarte spesialiseringsstrategier (for eksempel relatert til bioøkonomi og nisjeproduksjon), og få forbindelse med forsknings- og høyere utdanningsinstitusjoner i urbane sentre som Oulu, Tampere og Helsinki (og internasjonalt) </w:t>
            </w:r>
          </w:p>
          <w:p w:rsidR="00530532" w:rsidRPr="005E4ACB"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f. å etablere en mekanisme for å inkudere de nordlige tynt befolkede områdene i Finland i dialog om design, implementering og overvåking av nasjonal innovasjonspolitikk. </w:t>
            </w:r>
          </w:p>
          <w:p w:rsidR="00286140" w:rsidRP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3. Utarbeide tiltak for å fremme innovasjon innen serviceytelser i Nord- og Øst-Finland ved:</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a. å etablere en online portal eller utvekslingssentral for nyskapende fremgangsmåter innenfor serviceytelser og offentlige anskaffelser som kan deles og spres imellom offentlige og private serviceytere på regionalt og lokalt nivå</w:t>
            </w:r>
          </w:p>
          <w:p w:rsidR="00530532"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b. å sørge for uavbrutt støtte gjennom Det europeiske landbruksfond for distriktsutvikling (EAFRD) til felles investering i regioner for å øke bredbåndtilgang i avsidesliggende distriktssamfunn (for eksempel å dele betjeningspunkter) og foretak for å forbedre tilgang til tjenester og markeder </w:t>
            </w:r>
          </w:p>
          <w:p w:rsidR="00286140" w:rsidRPr="00F93C78" w:rsidRDefault="00530532" w:rsidP="00F93C78">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c. å sørge for støtte og tilskyndelse til nyskapende transporttjenester som leveres etter påkrav, for avsidesliggende distriktssamfunn. </w:t>
            </w:r>
          </w:p>
        </w:tc>
      </w:tr>
    </w:tbl>
    <w:p w:rsidR="00286140" w:rsidRPr="00551BAB" w:rsidRDefault="00286140" w:rsidP="0094564B">
      <w:pPr>
        <w:shd w:val="clear" w:color="auto" w:fill="FFFFFF"/>
        <w:ind w:left="878"/>
        <w:rPr>
          <w:rFonts w:ascii="Times New Roman" w:hAnsi="Times New Roman" w:cs="Times New Roman"/>
          <w:sz w:val="22"/>
          <w:szCs w:val="22"/>
          <w:lang w:val="nb-NO"/>
        </w:rPr>
      </w:pPr>
    </w:p>
    <w:p w:rsidR="009C645B" w:rsidRPr="00551BAB" w:rsidRDefault="009C645B" w:rsidP="0094564B">
      <w:pPr>
        <w:shd w:val="clear" w:color="auto" w:fill="FFFFFF"/>
        <w:ind w:left="1790" w:right="106" w:hanging="370"/>
        <w:jc w:val="both"/>
        <w:rPr>
          <w:rFonts w:ascii="Times New Roman" w:hAnsi="Times New Roman" w:cs="Times New Roman"/>
          <w:sz w:val="22"/>
          <w:szCs w:val="22"/>
          <w:lang w:val="nb-NO"/>
        </w:rPr>
        <w:sectPr w:rsidR="009C645B" w:rsidRPr="00551BAB">
          <w:pgSz w:w="11909" w:h="16834"/>
          <w:pgMar w:top="1440" w:right="1261" w:bottom="720" w:left="1701" w:header="720" w:footer="720" w:gutter="0"/>
          <w:cols w:space="60"/>
          <w:noEndnote/>
        </w:sectPr>
      </w:pPr>
    </w:p>
    <w:p w:rsidR="009C645B" w:rsidRPr="00551BAB" w:rsidRDefault="009C645B" w:rsidP="0094564B">
      <w:pPr>
        <w:shd w:val="clear" w:color="auto" w:fill="FFFFFF"/>
        <w:tabs>
          <w:tab w:val="left" w:pos="730"/>
        </w:tabs>
        <w:ind w:left="730" w:right="14" w:hanging="370"/>
        <w:jc w:val="both"/>
        <w:rPr>
          <w:rFonts w:ascii="Times New Roman" w:hAnsi="Times New Roman" w:cs="Times New Roman"/>
          <w:sz w:val="22"/>
          <w:szCs w:val="22"/>
          <w:lang w:val="nb-NO"/>
        </w:rPr>
      </w:pPr>
    </w:p>
    <w:tbl>
      <w:tblPr>
        <w:tblStyle w:val="Tabellrutenett"/>
        <w:tblW w:w="8931" w:type="dxa"/>
        <w:tblInd w:w="-34" w:type="dxa"/>
        <w:tblLook w:val="04A0" w:firstRow="1" w:lastRow="0" w:firstColumn="1" w:lastColumn="0" w:noHBand="0" w:noVBand="1"/>
      </w:tblPr>
      <w:tblGrid>
        <w:gridCol w:w="8931"/>
      </w:tblGrid>
      <w:tr w:rsidR="00AE1492" w:rsidRPr="00B36416" w:rsidTr="000F19CD">
        <w:tc>
          <w:tcPr>
            <w:tcW w:w="8931" w:type="dxa"/>
          </w:tcPr>
          <w:p w:rsidR="00AE1492" w:rsidRPr="00551BAB" w:rsidRDefault="00AE1492" w:rsidP="00AE1492">
            <w:pPr>
              <w:shd w:val="clear" w:color="auto" w:fill="FFFFFF"/>
              <w:ind w:left="317" w:hanging="283"/>
              <w:rPr>
                <w:rFonts w:ascii="Times New Roman" w:hAnsi="Times New Roman" w:cs="Times New Roman"/>
                <w:sz w:val="22"/>
                <w:szCs w:val="22"/>
                <w:lang w:val="nb-NO"/>
              </w:rPr>
            </w:pPr>
          </w:p>
          <w:p w:rsidR="00530532" w:rsidRPr="005E4ACB" w:rsidRDefault="00530532" w:rsidP="00530532">
            <w:pPr>
              <w:jc w:val="both"/>
              <w:rPr>
                <w:rFonts w:ascii="Times New Roman" w:hAnsi="Times New Roman" w:cs="Times New Roman"/>
                <w:i/>
                <w:sz w:val="22"/>
                <w:szCs w:val="22"/>
                <w:lang w:val="nb-NO"/>
              </w:rPr>
            </w:pPr>
            <w:r w:rsidRPr="005E4ACB">
              <w:rPr>
                <w:rFonts w:ascii="Times New Roman" w:hAnsi="Times New Roman" w:cs="Times New Roman"/>
                <w:b/>
                <w:sz w:val="22"/>
                <w:szCs w:val="22"/>
                <w:lang w:val="nb-NO"/>
              </w:rPr>
              <w:t xml:space="preserve">Anbefalinger på nasjonalt nivå for å støtte utviklingen i Nord- og Øst-Finland </w:t>
            </w:r>
            <w:r w:rsidRPr="005E4ACB">
              <w:rPr>
                <w:rFonts w:ascii="Times New Roman" w:hAnsi="Times New Roman" w:cs="Times New Roman"/>
                <w:i/>
                <w:sz w:val="22"/>
                <w:szCs w:val="22"/>
                <w:lang w:val="nb-NO"/>
              </w:rPr>
              <w:t>(fortsettelse)</w:t>
            </w:r>
          </w:p>
          <w:p w:rsidR="00530532" w:rsidRPr="005E4ACB" w:rsidRDefault="00530532" w:rsidP="000F19CD">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4. Gjennomføre bedre utviklingspolitikk i Nord- og Øst-Finland som en del av implementering av den forestående regionale styringsreformen ved å: </w:t>
            </w:r>
          </w:p>
          <w:p w:rsidR="00530532" w:rsidRPr="005E4ACB" w:rsidRDefault="00530532" w:rsidP="000F19CD">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a. sørge for at nye regionale autonome myndigheter fører politikk og har teknisk ekspertise for å ta en lederskapsrolle innen regional utviklingspolitikk i kommuner og blant andre private og offentlige aktører, samt aktører i tredje sektor i regional og tverregional målestokk </w:t>
            </w:r>
          </w:p>
          <w:p w:rsidR="00530532" w:rsidRPr="005E4ACB" w:rsidRDefault="00530532" w:rsidP="000F19CD">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b. utarbeide en partnerskapsbasert tilnærming til samarbeid mellom regjeringer, for eksempel ved å utvide omfanget av Det regionale utviklingsprogrammet </w:t>
            </w:r>
            <w:r w:rsidR="00531F9A">
              <w:rPr>
                <w:rFonts w:ascii="Times New Roman" w:hAnsi="Times New Roman" w:cs="Times New Roman"/>
                <w:sz w:val="22"/>
                <w:szCs w:val="22"/>
                <w:lang w:val="nb-NO"/>
              </w:rPr>
              <w:t>utarbeidet</w:t>
            </w:r>
            <w:r w:rsidRPr="005E4ACB">
              <w:rPr>
                <w:rFonts w:ascii="Times New Roman" w:hAnsi="Times New Roman" w:cs="Times New Roman"/>
                <w:sz w:val="22"/>
                <w:szCs w:val="22"/>
                <w:lang w:val="nb-NO"/>
              </w:rPr>
              <w:t xml:space="preserve"> av hver region, for å inkludere initiativer og forpliktelser fra nasjonale nøkkelministerier (for eksempel Utdanning og kultur, Transport og kommunikasjon, og Landbruk) som oppnår gjensidig avtalte resultater av produktivitetsøkning</w:t>
            </w:r>
          </w:p>
          <w:p w:rsidR="00530532" w:rsidRPr="005E4ACB" w:rsidRDefault="00530532" w:rsidP="000F19CD">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c. styrke rolle av nye regionale autonome myndigheter i prioritetsetting og samordning mellom EU og nasjonal, regional og utviklingsfinansiering i distriktene på regionalt nivå </w:t>
            </w:r>
          </w:p>
          <w:p w:rsidR="00530532" w:rsidRPr="005E4ACB" w:rsidRDefault="00530532" w:rsidP="000F19CD">
            <w:pPr>
              <w:spacing w:before="120"/>
              <w:jc w:val="both"/>
              <w:rPr>
                <w:rFonts w:ascii="Times New Roman" w:hAnsi="Times New Roman" w:cs="Times New Roman"/>
                <w:sz w:val="22"/>
                <w:szCs w:val="22"/>
                <w:lang w:val="nb-NO"/>
              </w:rPr>
            </w:pPr>
            <w:r w:rsidRPr="005E4ACB">
              <w:rPr>
                <w:rFonts w:ascii="Times New Roman" w:hAnsi="Times New Roman" w:cs="Times New Roman"/>
                <w:sz w:val="22"/>
                <w:szCs w:val="22"/>
                <w:lang w:val="nb-NO"/>
              </w:rPr>
              <w:t xml:space="preserve">d. etablere mer effektiv ledelsessystem for å tilpasse utdannings- og opplæringstiltak til firmaers behov i regional målestokk og for å adressere misforholdet mellom ferdigheter (for eksempel ved å se på leksjoner med situasjoner fra De regionale kompetanseplattformene i Sverige eller Yrkesnemnder i Norge). </w:t>
            </w:r>
          </w:p>
          <w:p w:rsidR="00AE1492" w:rsidRPr="00716331" w:rsidRDefault="00AE1492" w:rsidP="00551BAB">
            <w:pPr>
              <w:shd w:val="clear" w:color="auto" w:fill="FFFFFF"/>
              <w:ind w:left="317" w:hanging="283"/>
              <w:jc w:val="both"/>
              <w:rPr>
                <w:rFonts w:ascii="Times New Roman" w:hAnsi="Times New Roman" w:cs="Times New Roman"/>
                <w:sz w:val="22"/>
                <w:szCs w:val="22"/>
                <w:lang w:val="nb-NO"/>
              </w:rPr>
            </w:pPr>
          </w:p>
        </w:tc>
      </w:tr>
    </w:tbl>
    <w:p w:rsidR="000F19CD" w:rsidRPr="00B36416" w:rsidRDefault="000F19CD" w:rsidP="00551BAB">
      <w:pPr>
        <w:jc w:val="both"/>
        <w:rPr>
          <w:rFonts w:ascii="Times New Roman" w:hAnsi="Times New Roman" w:cs="Times New Roman"/>
          <w:b/>
          <w:sz w:val="22"/>
          <w:szCs w:val="22"/>
          <w:lang w:val="nb-NO"/>
        </w:rPr>
      </w:pPr>
    </w:p>
    <w:p w:rsidR="000F19CD" w:rsidRPr="00B36416" w:rsidRDefault="000F19CD" w:rsidP="00551BAB">
      <w:pPr>
        <w:jc w:val="both"/>
        <w:rPr>
          <w:rFonts w:ascii="Times New Roman" w:hAnsi="Times New Roman" w:cs="Times New Roman"/>
          <w:b/>
          <w:sz w:val="22"/>
          <w:szCs w:val="22"/>
          <w:lang w:val="nb-NO"/>
        </w:rPr>
      </w:pPr>
    </w:p>
    <w:p w:rsidR="00551BAB" w:rsidRPr="00B36416" w:rsidRDefault="00B36416" w:rsidP="00551BAB">
      <w:pPr>
        <w:jc w:val="both"/>
        <w:rPr>
          <w:rFonts w:ascii="Times New Roman" w:hAnsi="Times New Roman" w:cs="Times New Roman"/>
          <w:b/>
          <w:sz w:val="24"/>
          <w:szCs w:val="22"/>
          <w:lang w:val="nb-NO"/>
        </w:rPr>
      </w:pPr>
      <w:r>
        <w:rPr>
          <w:rFonts w:ascii="Times New Roman" w:hAnsi="Times New Roman" w:cs="Times New Roman"/>
          <w:b/>
          <w:sz w:val="24"/>
          <w:szCs w:val="22"/>
          <w:lang w:val="nb-NO"/>
        </w:rPr>
        <w:t>NSPA</w:t>
      </w:r>
      <w:r w:rsidR="00551BAB" w:rsidRPr="000F19CD">
        <w:rPr>
          <w:rFonts w:ascii="Times New Roman" w:hAnsi="Times New Roman" w:cs="Times New Roman"/>
          <w:b/>
          <w:sz w:val="24"/>
          <w:szCs w:val="22"/>
          <w:lang w:val="nb-NO"/>
        </w:rPr>
        <w:t xml:space="preserve">-anbefalinger for Norge </w:t>
      </w:r>
    </w:p>
    <w:p w:rsidR="000F19CD" w:rsidRPr="00B36416" w:rsidRDefault="000F19CD" w:rsidP="00551BAB">
      <w:pPr>
        <w:jc w:val="both"/>
        <w:rPr>
          <w:rFonts w:ascii="Times New Roman" w:hAnsi="Times New Roman" w:cs="Times New Roman"/>
          <w:b/>
          <w:sz w:val="24"/>
          <w:szCs w:val="22"/>
          <w:lang w:val="nb-NO"/>
        </w:rPr>
      </w:pPr>
    </w:p>
    <w:p w:rsidR="00AE1492" w:rsidRPr="00551BAB" w:rsidRDefault="00AE1492" w:rsidP="0094564B">
      <w:pPr>
        <w:shd w:val="clear" w:color="auto" w:fill="FFFFFF"/>
        <w:ind w:left="14"/>
        <w:rPr>
          <w:rFonts w:ascii="Times New Roman" w:hAnsi="Times New Roman" w:cs="Times New Roman"/>
          <w:b/>
          <w:bCs/>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80768" behindDoc="0" locked="0" layoutInCell="1" allowOverlap="1" wp14:anchorId="48E5D088" wp14:editId="337DBEF5">
                <wp:simplePos x="0" y="0"/>
                <wp:positionH relativeFrom="column">
                  <wp:posOffset>-13970</wp:posOffset>
                </wp:positionH>
                <wp:positionV relativeFrom="paragraph">
                  <wp:posOffset>118745</wp:posOffset>
                </wp:positionV>
                <wp:extent cx="23336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3336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6EED9C" id="Прямая соединительная линия 13"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35pt" to="18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" strokecolor="blue"/>
            </w:pict>
          </mc:Fallback>
        </mc:AlternateContent>
      </w:r>
    </w:p>
    <w:p w:rsidR="00551BAB" w:rsidRPr="000F19CD" w:rsidRDefault="00551BAB" w:rsidP="00551BAB">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Regionene i Nord-Norge spiller en viktig </w:t>
      </w:r>
    </w:p>
    <w:p w:rsidR="00551BAB" w:rsidRPr="000F19CD" w:rsidRDefault="00551BAB" w:rsidP="00551BAB">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rolle i arbeid med å diversifisere landets </w:t>
      </w:r>
    </w:p>
    <w:p w:rsidR="009C645B" w:rsidRPr="00551BAB" w:rsidRDefault="00551BAB" w:rsidP="00551BAB">
      <w:pPr>
        <w:jc w:val="both"/>
        <w:rPr>
          <w:rFonts w:ascii="Times New Roman" w:hAnsi="Times New Roman" w:cs="Times New Roman"/>
          <w:i/>
          <w:sz w:val="22"/>
          <w:szCs w:val="22"/>
          <w:lang w:val="nb-NO"/>
        </w:rPr>
      </w:pPr>
      <w:r w:rsidRPr="000F19CD">
        <w:rPr>
          <w:rFonts w:ascii="Times New Roman" w:hAnsi="Times New Roman" w:cs="Times New Roman"/>
          <w:i/>
          <w:color w:val="0000FF"/>
          <w:sz w:val="22"/>
          <w:szCs w:val="22"/>
          <w:lang w:val="nb-NO"/>
        </w:rPr>
        <w:t>eksportbase</w:t>
      </w:r>
      <w:r w:rsidR="00AE1492">
        <w:rPr>
          <w:rFonts w:ascii="Times New Roman" w:hAnsi="Times New Roman" w:cs="Times New Roman"/>
          <w:noProof/>
          <w:sz w:val="22"/>
          <w:szCs w:val="22"/>
          <w:lang w:val="nb-NO" w:eastAsia="nb-NO"/>
        </w:rPr>
        <mc:AlternateContent>
          <mc:Choice Requires="wps">
            <w:drawing>
              <wp:anchor distT="0" distB="0" distL="114300" distR="114300" simplePos="0" relativeHeight="251682816" behindDoc="0" locked="0" layoutInCell="1" allowOverlap="1" wp14:anchorId="7A1396C4" wp14:editId="5C8BCE45">
                <wp:simplePos x="0" y="0"/>
                <wp:positionH relativeFrom="column">
                  <wp:posOffset>-13970</wp:posOffset>
                </wp:positionH>
                <wp:positionV relativeFrom="paragraph">
                  <wp:posOffset>217805</wp:posOffset>
                </wp:positionV>
                <wp:extent cx="233362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23336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EBA846" id="Прямая соединительная линия 14"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7.15pt" to="182.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" strokecolor="blue"/>
            </w:pict>
          </mc:Fallback>
        </mc:AlternateContent>
      </w:r>
    </w:p>
    <w:p w:rsidR="009C645B" w:rsidRPr="00551BAB" w:rsidRDefault="009C645B" w:rsidP="0094564B">
      <w:pPr>
        <w:shd w:val="clear" w:color="auto" w:fill="FFFFFF"/>
        <w:rPr>
          <w:rFonts w:ascii="Times New Roman" w:hAnsi="Times New Roman" w:cs="Times New Roman"/>
          <w:sz w:val="22"/>
          <w:szCs w:val="22"/>
          <w:lang w:val="nb-NO"/>
        </w:rPr>
      </w:pPr>
    </w:p>
    <w:p w:rsidR="00AE1492" w:rsidRPr="00551BAB" w:rsidRDefault="00AE1492" w:rsidP="0094564B">
      <w:pPr>
        <w:shd w:val="clear" w:color="auto" w:fill="FFFFFF"/>
        <w:rPr>
          <w:rFonts w:ascii="Times New Roman" w:hAnsi="Times New Roman" w:cs="Times New Roman"/>
          <w:sz w:val="22"/>
          <w:szCs w:val="22"/>
          <w:lang w:val="nb-NO"/>
        </w:rPr>
      </w:pPr>
    </w:p>
    <w:p w:rsidR="00551BAB" w:rsidRPr="00750D77"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De tre nordlige fylkene i Norge (Finnmark, Nordland og Troms) utgjør 7.7% av nasjonal økonomi, 9.4% av befolkningen og 35% av Norges fastlandsområder. En betydelig del av landets naturressurser, fasiliteter, kulturarv og innfødt kultur lokaliseres også i denne delen av landet. Oljerelaterte produkter utgjør to tredeler av Norges eksport. En betydelig del av nyere og planlagte offshoreaktiviteter lokaliseres nord i landet i Norske- og Barentshavet. De nordlige regionene spiller også en viktig rolle i den nasjonale energisektoren med vann- og vindkraft. Siden valutakurs har vært svekket i det siste på grunn av lavere oljepriser, er det viktig at landet fortsetter med diversifisering av sin økonomi. Nord-Norge er konkurransedyktig i fiskeri og havbruk og turisme som er to områder der Norge har muligheter i global sammenheng. </w:t>
      </w:r>
    </w:p>
    <w:p w:rsidR="00AE1492" w:rsidRPr="00716331" w:rsidRDefault="00AE1492" w:rsidP="00AE1492">
      <w:pPr>
        <w:shd w:val="clear" w:color="auto" w:fill="FFFFFF"/>
        <w:ind w:left="426" w:firstLine="336"/>
        <w:jc w:val="both"/>
        <w:rPr>
          <w:rFonts w:ascii="Times New Roman" w:hAnsi="Times New Roman" w:cs="Times New Roman"/>
          <w:sz w:val="22"/>
          <w:szCs w:val="22"/>
          <w:lang w:val="nb-NO"/>
        </w:rPr>
      </w:pPr>
    </w:p>
    <w:p w:rsidR="000F19CD"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Til tross for strukturutfordringer ved befolkningseldring, beliggenhet av disse regionene og deres lille skala har de høy grad av velstand og velferd i OECD-sammenheng. Disse regionene har et lite omfang av absolutte fortrinn som hovedsakelig er relatert til deres ressursfond. De har vært i stand til å diversifisere aktiviteter knyttet til disse fortrinnene når det gjelder foredling og fosyning av spesialiserte faglige og tekniske tjenester. Alle de tre regionene har felles styrke innen fiskeri og havbruk, fornybar energi og forskjellige former for natur- og kulturbaserte turismeaktiviteter. </w:t>
      </w:r>
    </w:p>
    <w:p w:rsidR="000F19CD" w:rsidRDefault="000F19CD">
      <w:pPr>
        <w:widowControl/>
        <w:autoSpaceDE/>
        <w:autoSpaceDN/>
        <w:adjustRightInd/>
        <w:spacing w:after="200" w:line="276" w:lineRule="auto"/>
        <w:rPr>
          <w:rFonts w:ascii="Times New Roman" w:hAnsi="Times New Roman" w:cs="Times New Roman"/>
          <w:sz w:val="22"/>
          <w:szCs w:val="22"/>
          <w:lang w:val="nb-NO"/>
        </w:rPr>
      </w:pPr>
      <w:r>
        <w:rPr>
          <w:rFonts w:ascii="Times New Roman" w:hAnsi="Times New Roman" w:cs="Times New Roman"/>
          <w:sz w:val="22"/>
          <w:szCs w:val="22"/>
          <w:lang w:val="nb-NO"/>
        </w:rPr>
        <w:br w:type="page"/>
      </w:r>
    </w:p>
    <w:p w:rsidR="000F19CD" w:rsidRPr="00B36416" w:rsidRDefault="000F19CD" w:rsidP="000F19CD">
      <w:pPr>
        <w:jc w:val="both"/>
        <w:rPr>
          <w:rFonts w:ascii="Times New Roman" w:hAnsi="Times New Roman" w:cs="Times New Roman"/>
          <w:sz w:val="22"/>
          <w:szCs w:val="22"/>
          <w:lang w:val="nb-NO"/>
        </w:rPr>
      </w:pPr>
    </w:p>
    <w:p w:rsidR="00551BAB" w:rsidRDefault="00551BAB" w:rsidP="000F19CD">
      <w:pPr>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Finnmark er den minste når det gjelder befolkningsstørrelse, og den mest periferiske. Dens økonomi avhenger sterkt av råvareforbrukende industrier. Nordland og Troms har en større økonomi, men helt forskjellig vekstdynamikk. Nordlands økonomi er utformet av det historiske forholdet mellom råvareforbrukende industrier, foredling og energiproduksjon. Den offentlige sektoren spiller en viktigere rolle i Troms med universitetets og sykehusets nærvær og andre offentlige administrative funksjoner. </w:t>
      </w:r>
    </w:p>
    <w:p w:rsidR="00464628" w:rsidRPr="00750D77" w:rsidRDefault="00464628" w:rsidP="00551BAB">
      <w:pPr>
        <w:ind w:firstLine="708"/>
        <w:jc w:val="both"/>
        <w:rPr>
          <w:rFonts w:ascii="Times New Roman" w:hAnsi="Times New Roman" w:cs="Times New Roman"/>
          <w:sz w:val="22"/>
          <w:szCs w:val="22"/>
          <w:lang w:val="nb-NO"/>
        </w:rPr>
      </w:pPr>
    </w:p>
    <w:p w:rsidR="00AE1492" w:rsidRPr="00716331" w:rsidRDefault="00AE1492" w:rsidP="00AE1492">
      <w:pPr>
        <w:shd w:val="clear" w:color="auto" w:fill="FFFFFF"/>
        <w:ind w:left="682" w:right="24" w:firstLine="341"/>
        <w:jc w:val="both"/>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84864" behindDoc="0" locked="0" layoutInCell="1" allowOverlap="1" wp14:anchorId="7A750AA6" wp14:editId="77267D7C">
                <wp:simplePos x="0" y="0"/>
                <wp:positionH relativeFrom="column">
                  <wp:posOffset>-63500</wp:posOffset>
                </wp:positionH>
                <wp:positionV relativeFrom="paragraph">
                  <wp:posOffset>95885</wp:posOffset>
                </wp:positionV>
                <wp:extent cx="26860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68605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FADE5" id="Прямая соединительная линия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5pt" to="2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" strokecolor="blue"/>
            </w:pict>
          </mc:Fallback>
        </mc:AlternateContent>
      </w:r>
    </w:p>
    <w:p w:rsidR="00551BAB" w:rsidRPr="000F19CD" w:rsidRDefault="00551BAB" w:rsidP="00551BAB">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Selv om veksten er sterk i OECD-sammenheng, </w:t>
      </w:r>
    </w:p>
    <w:p w:rsidR="00551BAB" w:rsidRPr="000F19CD" w:rsidRDefault="00551BAB" w:rsidP="00551BAB">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ligger produktivitet etter landets gjennomsnitt</w:t>
      </w:r>
    </w:p>
    <w:p w:rsidR="00551BAB" w:rsidRPr="000F19CD" w:rsidRDefault="00551BAB" w:rsidP="00551BAB">
      <w:pPr>
        <w:jc w:val="both"/>
        <w:rPr>
          <w:rFonts w:ascii="Times New Roman" w:hAnsi="Times New Roman" w:cs="Times New Roman"/>
          <w:i/>
          <w:color w:val="0000FF"/>
          <w:sz w:val="22"/>
          <w:szCs w:val="22"/>
          <w:lang w:val="nb-NO"/>
        </w:rPr>
      </w:pPr>
    </w:p>
    <w:p w:rsidR="00551BAB" w:rsidRDefault="00464628" w:rsidP="00551BAB">
      <w:pPr>
        <w:ind w:firstLine="708"/>
        <w:jc w:val="both"/>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86912" behindDoc="0" locked="0" layoutInCell="1" allowOverlap="1" wp14:anchorId="1AA8EF91" wp14:editId="5DFB4858">
                <wp:simplePos x="0" y="0"/>
                <wp:positionH relativeFrom="column">
                  <wp:posOffset>-15875</wp:posOffset>
                </wp:positionH>
                <wp:positionV relativeFrom="paragraph">
                  <wp:posOffset>33020</wp:posOffset>
                </wp:positionV>
                <wp:extent cx="268605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686050"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031E2" id="Прямая соединительная линия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6pt" to="21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" strokecolor="blue"/>
            </w:pict>
          </mc:Fallback>
        </mc:AlternateContent>
      </w:r>
    </w:p>
    <w:p w:rsidR="00551BAB" w:rsidRDefault="00551BAB" w:rsidP="00551BAB">
      <w:pPr>
        <w:ind w:firstLine="708"/>
        <w:jc w:val="both"/>
        <w:rPr>
          <w:rFonts w:ascii="Times New Roman" w:hAnsi="Times New Roman" w:cs="Times New Roman"/>
          <w:sz w:val="22"/>
          <w:szCs w:val="22"/>
          <w:lang w:val="nb-NO"/>
        </w:rPr>
      </w:pPr>
    </w:p>
    <w:p w:rsidR="00551BAB" w:rsidRPr="00750D77"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Til tross for relativt høyt nivå av velstand og velferd i OECD-sammenheng ligger regionene i Nord-Norge etter sammenliknet med landets gjennomsnitt. Sammenliknet med OECD-gjennomsnitt på USD 35 812 er BNP-nivå per innbygger forholdsvis høyt i de nordlige regionene (USD 49 869 i Finnmark, USD 49 490 i Troms og USD 48 883 i Nordland). Prosentvis gap med nasjonalt nivå når det gjelder BNP per innbygger, er -16% i Finnmark, -17% i Troms og -18% i Nordland. I perioden 1997-2012 var BNP-vekst i Finnmark 0.9%, i Nordland utgjorde den 0.56%, og i Troms var den 0.41% som i gjennomsnitt er 1% lavere enn vekstprosent ellers i landet. Den sterkeste økonomiske aktøren i nord har vært Finnmark med produktivitetsøkning på samme nivå som ellers i landet og høyere vekst i sysselsettingsprosent. Som følge av dette har regionen redusert gapet i BNP per innbygger med nivå ellers i landet. Nordland og Troms har opplevd lavere prosent i produktivitetsøkning enn landets gjennomsnitt og avveket fra nasjonalt gjennomsnitt når det gjelder BNP per innbygger. </w:t>
      </w:r>
    </w:p>
    <w:p w:rsidR="00AE1492" w:rsidRPr="00716331" w:rsidRDefault="00AE1492" w:rsidP="00614B7A">
      <w:pPr>
        <w:shd w:val="clear" w:color="auto" w:fill="FFFFFF"/>
        <w:ind w:left="284" w:firstLine="384"/>
        <w:jc w:val="both"/>
        <w:rPr>
          <w:rFonts w:ascii="Times New Roman" w:hAnsi="Times New Roman" w:cs="Times New Roman"/>
          <w:sz w:val="22"/>
          <w:szCs w:val="22"/>
          <w:lang w:val="nb-NO"/>
        </w:rPr>
      </w:pPr>
    </w:p>
    <w:p w:rsidR="00551BAB"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De nordlige regionene ligger etter landets gjennomsnitt i forhold til sentrale muliggjørende faktorer for produktivitetsøkning (ferdigheter, innovasjon og forretningsmiljø, og infrastruktur). Den eneste regionen som er nær nasjonalt gjennomsnitt når det gjelder høykvalifiserte arbeidere, er Troms, og det kunne skyldes universitetets og det regionale sykehusets nærvær. Når det gjelder innovasjon, er det et sammensatt bilde. Under forutsetning av industristruktur, mangel på forskning og avsidesliggende beliggenhet kan det forventes at patentnivåer skal være lave i forhold til landet ellers. Likevel er antall nyetablerte forretninger også lavt, og det er sannsynnligvis mulig å øke det, spesielt for aktiviteter relatert til turisme. Internettkapasitet kan være en bindende innskrenkning i denne forstand som er lavere enn nasjonalt gjennomsnitt, og det er også en betydelig forskjell mellom regionene som tyder på regionspesifikke geografiske og politikkfaktorer. Fremtidig velstand vil være avhengig av utvikling av nye forretningsmuligheter knyttet til områder med absolutte fortrinn, og det kan gjennomføres gjennom støtte til eksisterende små og mellomstore bedrifter og entreprenører. Det vil være viktig å fortsette å mobilisere aktører i privat og offentlig sektor gjennom slike samarbeidende prosesser som smarte spesialiseringsstrategier. Det vil også være behov for å adressere flaskehalser og gap knyttet til transport- og kommunikasjonsinfrastruktur. Det å adressere misforhold mellom ferdigheter og forbedring av arbeidskraftens medvirkning i risikogrupper bør prioriteres i framtida, spesielt under forutsetning av følger av eldrende befolkning. </w:t>
      </w:r>
    </w:p>
    <w:p w:rsidR="000F19CD" w:rsidRDefault="000F19CD">
      <w:pPr>
        <w:widowControl/>
        <w:autoSpaceDE/>
        <w:autoSpaceDN/>
        <w:adjustRightInd/>
        <w:spacing w:after="200" w:line="276" w:lineRule="auto"/>
        <w:rPr>
          <w:rFonts w:ascii="Times New Roman" w:hAnsi="Times New Roman" w:cs="Times New Roman"/>
          <w:sz w:val="22"/>
          <w:szCs w:val="22"/>
          <w:lang w:val="nb-NO"/>
        </w:rPr>
      </w:pPr>
      <w:r>
        <w:rPr>
          <w:rFonts w:ascii="Times New Roman" w:hAnsi="Times New Roman" w:cs="Times New Roman"/>
          <w:sz w:val="22"/>
          <w:szCs w:val="22"/>
          <w:lang w:val="nb-NO"/>
        </w:rPr>
        <w:br w:type="page"/>
      </w:r>
    </w:p>
    <w:p w:rsidR="00551BAB" w:rsidRDefault="00551BAB" w:rsidP="00551BAB">
      <w:pPr>
        <w:ind w:firstLine="708"/>
        <w:jc w:val="both"/>
        <w:rPr>
          <w:rFonts w:ascii="Times New Roman" w:hAnsi="Times New Roman" w:cs="Times New Roman"/>
          <w:sz w:val="22"/>
          <w:szCs w:val="22"/>
          <w:lang w:val="nb-NO"/>
        </w:rPr>
      </w:pPr>
    </w:p>
    <w:p w:rsidR="00551BAB" w:rsidRPr="00750D77" w:rsidRDefault="003C7C69" w:rsidP="00551BAB">
      <w:pPr>
        <w:ind w:firstLine="708"/>
        <w:jc w:val="both"/>
        <w:rPr>
          <w:rFonts w:ascii="Times New Roman" w:hAnsi="Times New Roman" w:cs="Times New Roman"/>
          <w:i/>
          <w:sz w:val="22"/>
          <w:szCs w:val="22"/>
          <w:lang w:val="nb-NO"/>
        </w:rPr>
      </w:pPr>
      <w:r>
        <w:rPr>
          <w:rFonts w:ascii="Times New Roman" w:hAnsi="Times New Roman" w:cs="Times New Roman"/>
          <w:i/>
          <w:iCs/>
          <w:noProof/>
          <w:sz w:val="22"/>
          <w:szCs w:val="22"/>
          <w:lang w:val="nb-NO" w:eastAsia="nb-NO"/>
        </w:rPr>
        <mc:AlternateContent>
          <mc:Choice Requires="wps">
            <w:drawing>
              <wp:anchor distT="0" distB="0" distL="114300" distR="114300" simplePos="0" relativeHeight="251687936" behindDoc="0" locked="0" layoutInCell="1" allowOverlap="1" wp14:anchorId="0C133A6E" wp14:editId="58B534FF">
                <wp:simplePos x="0" y="0"/>
                <wp:positionH relativeFrom="column">
                  <wp:posOffset>24765</wp:posOffset>
                </wp:positionH>
                <wp:positionV relativeFrom="paragraph">
                  <wp:posOffset>93980</wp:posOffset>
                </wp:positionV>
                <wp:extent cx="24288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4288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44AA5" id="Прямая соединительная линия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5pt,7.4pt" to="193.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" strokecolor="blue"/>
            </w:pict>
          </mc:Fallback>
        </mc:AlternateContent>
      </w:r>
    </w:p>
    <w:p w:rsidR="003C7C69" w:rsidRPr="000F19CD" w:rsidRDefault="00551BAB" w:rsidP="00551BAB">
      <w:pPr>
        <w:shd w:val="clear" w:color="auto" w:fill="FFFFFF"/>
        <w:ind w:left="29"/>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Landets regionale og distriktspolitikk er </w:t>
      </w:r>
    </w:p>
    <w:p w:rsidR="003C7C69" w:rsidRPr="000F19CD" w:rsidRDefault="00551BAB" w:rsidP="00551BAB">
      <w:pPr>
        <w:shd w:val="clear" w:color="auto" w:fill="FFFFFF"/>
        <w:ind w:left="29"/>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begrenset i omfang og gjenspeiler stort sett </w:t>
      </w:r>
    </w:p>
    <w:p w:rsidR="003C7C69" w:rsidRPr="000F19CD" w:rsidRDefault="00551BAB" w:rsidP="00551BAB">
      <w:pPr>
        <w:shd w:val="clear" w:color="auto" w:fill="FFFFFF"/>
        <w:ind w:left="29"/>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en nedadgående og sektortilnærming til </w:t>
      </w:r>
    </w:p>
    <w:p w:rsidR="009C645B" w:rsidRPr="000F19CD" w:rsidRDefault="00551BAB" w:rsidP="00551BAB">
      <w:pPr>
        <w:shd w:val="clear" w:color="auto" w:fill="FFFFFF"/>
        <w:ind w:left="29"/>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nasjonal politikk </w:t>
      </w:r>
    </w:p>
    <w:p w:rsidR="00614B7A" w:rsidRPr="00551BAB" w:rsidRDefault="00614B7A" w:rsidP="0094564B">
      <w:pPr>
        <w:shd w:val="clear" w:color="auto" w:fill="FFFFFF"/>
        <w:ind w:right="5530"/>
        <w:rPr>
          <w:rFonts w:ascii="Times New Roman" w:hAnsi="Times New Roman" w:cs="Times New Roman"/>
          <w:sz w:val="22"/>
          <w:szCs w:val="22"/>
          <w:lang w:val="nb-NO"/>
        </w:rPr>
      </w:pPr>
      <w:r>
        <w:rPr>
          <w:rFonts w:ascii="Times New Roman" w:hAnsi="Times New Roman" w:cs="Times New Roman"/>
          <w:i/>
          <w:iCs/>
          <w:noProof/>
          <w:sz w:val="22"/>
          <w:szCs w:val="22"/>
          <w:lang w:val="nb-NO" w:eastAsia="nb-NO"/>
        </w:rPr>
        <mc:AlternateContent>
          <mc:Choice Requires="wps">
            <w:drawing>
              <wp:anchor distT="0" distB="0" distL="114300" distR="114300" simplePos="0" relativeHeight="251689984" behindDoc="0" locked="0" layoutInCell="1" allowOverlap="1" wp14:anchorId="3ABF0CD4" wp14:editId="4E5BF3F6">
                <wp:simplePos x="0" y="0"/>
                <wp:positionH relativeFrom="column">
                  <wp:posOffset>24765</wp:posOffset>
                </wp:positionH>
                <wp:positionV relativeFrom="paragraph">
                  <wp:posOffset>33655</wp:posOffset>
                </wp:positionV>
                <wp:extent cx="24288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4288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B159E" id="Прямая соединительная линия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5pt,2.65pt" to="19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" strokecolor="blue"/>
            </w:pict>
          </mc:Fallback>
        </mc:AlternateContent>
      </w:r>
    </w:p>
    <w:p w:rsidR="000F19CD" w:rsidRPr="00B36416" w:rsidRDefault="000F19CD" w:rsidP="00551BAB">
      <w:pPr>
        <w:ind w:firstLine="708"/>
        <w:jc w:val="both"/>
        <w:rPr>
          <w:rFonts w:ascii="Times New Roman" w:hAnsi="Times New Roman" w:cs="Times New Roman"/>
          <w:sz w:val="22"/>
          <w:szCs w:val="22"/>
          <w:lang w:val="nb-NO"/>
        </w:rPr>
      </w:pPr>
    </w:p>
    <w:p w:rsidR="00551BAB" w:rsidRPr="00750D77"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Norges regionalpolitikk sikrer vesentlig støtte til distriktsområder og landets nordområder gjennom skattesystem og spesifikke økonomiske og samfunnsutviklingsprogrammer. I tillegg har regjeringen nordområdepolitikk som sikrer spesifikke investeringer for å styrke vekst og konkurransedyktighet i arktiske strøk. Disse politikkene er utformet for å imøtekomme formålet om balansert nasjonal utvikling og opprettholde den eksisterende bosettingsstrukturen i landet. Totalt sett er fokus i regjeringens regionalpolitikk forholdsvis snevert (regional planlegging, bredbåndinfrastruktur, og støtte til forretningsliv) som reflekterer en portefølje av forpliktelser fra Kommunal- og moderniseringsdepartementet. </w:t>
      </w:r>
    </w:p>
    <w:p w:rsidR="00614B7A" w:rsidRPr="00716331" w:rsidRDefault="00614B7A" w:rsidP="00614B7A">
      <w:pPr>
        <w:shd w:val="clear" w:color="auto" w:fill="FFFFFF"/>
        <w:ind w:left="567" w:right="-3" w:firstLine="331"/>
        <w:jc w:val="both"/>
        <w:rPr>
          <w:rFonts w:ascii="Times New Roman" w:hAnsi="Times New Roman" w:cs="Times New Roman"/>
          <w:sz w:val="22"/>
          <w:szCs w:val="22"/>
          <w:lang w:val="nb-NO"/>
        </w:rPr>
      </w:pPr>
    </w:p>
    <w:p w:rsidR="00551BAB" w:rsidRPr="00B36416" w:rsidRDefault="00551BAB" w:rsidP="00551BAB">
      <w:pPr>
        <w:ind w:firstLine="708"/>
        <w:jc w:val="both"/>
        <w:rPr>
          <w:rFonts w:ascii="Times New Roman" w:hAnsi="Times New Roman" w:cs="Times New Roman"/>
          <w:sz w:val="22"/>
          <w:szCs w:val="22"/>
          <w:lang w:val="nb-NO"/>
        </w:rPr>
      </w:pPr>
      <w:r w:rsidRPr="00750D77">
        <w:rPr>
          <w:rFonts w:ascii="Times New Roman" w:hAnsi="Times New Roman" w:cs="Times New Roman"/>
          <w:sz w:val="22"/>
          <w:szCs w:val="22"/>
          <w:lang w:val="nb-NO"/>
        </w:rPr>
        <w:t xml:space="preserve">De nordlige fylkene tar i bruk en bred og inkluderende tilnærming til regional planlegging som omfatter et vidt spekter av sektorpolitikker. Likevel er ikke nasjonale sektorpolitikker godt tilpasset og integrert i regionale planer. Realisering av politikkformål på fylkesnivå vil være avhengig av samordning og støtte fra sektorministerier på nasjonalt nivå. Utover spesifikke programmer finansiert av Kommunal- og moderniseringsdepartementet er ikke nasjonal politikk relatert til innovasjon, forskning og høyere utdanning godt knyttet til regionalt nivå. På samme måte har organer ansvarlige for regional utvikling, inkonsekvent engasjement i transportplanlegging og prioritering. Det regionale nivået mangler også innflytelse på utforming og levering av sentrale sosiale tjenester, og det er åpenbart i utdannings- og ferdighetssystemet. </w:t>
      </w:r>
    </w:p>
    <w:p w:rsidR="000F19CD" w:rsidRPr="00B36416" w:rsidRDefault="000F19CD" w:rsidP="00551BAB">
      <w:pPr>
        <w:ind w:firstLine="708"/>
        <w:jc w:val="both"/>
        <w:rPr>
          <w:rFonts w:ascii="Times New Roman" w:hAnsi="Times New Roman" w:cs="Times New Roman"/>
          <w:sz w:val="22"/>
          <w:szCs w:val="22"/>
          <w:lang w:val="nb-NO"/>
        </w:rPr>
      </w:pPr>
    </w:p>
    <w:p w:rsidR="00614B7A" w:rsidRPr="00716331" w:rsidRDefault="00614B7A" w:rsidP="00614B7A">
      <w:pPr>
        <w:shd w:val="clear" w:color="auto" w:fill="FFFFFF"/>
        <w:ind w:left="567" w:right="-3" w:firstLine="331"/>
        <w:jc w:val="both"/>
        <w:rPr>
          <w:rFonts w:ascii="Times New Roman" w:hAnsi="Times New Roman" w:cs="Times New Roman"/>
          <w:sz w:val="22"/>
          <w:szCs w:val="22"/>
          <w:lang w:val="nb-NO"/>
        </w:rPr>
      </w:pPr>
      <w:r>
        <w:rPr>
          <w:rFonts w:ascii="Times New Roman" w:hAnsi="Times New Roman" w:cs="Times New Roman"/>
          <w:i/>
          <w:iCs/>
          <w:noProof/>
          <w:sz w:val="22"/>
          <w:szCs w:val="22"/>
          <w:lang w:val="nb-NO" w:eastAsia="nb-NO"/>
        </w:rPr>
        <mc:AlternateContent>
          <mc:Choice Requires="wps">
            <w:drawing>
              <wp:anchor distT="0" distB="0" distL="114300" distR="114300" simplePos="0" relativeHeight="251692032" behindDoc="0" locked="0" layoutInCell="1" allowOverlap="1" wp14:anchorId="38AB0121" wp14:editId="135723E3">
                <wp:simplePos x="0" y="0"/>
                <wp:positionH relativeFrom="column">
                  <wp:posOffset>24765</wp:posOffset>
                </wp:positionH>
                <wp:positionV relativeFrom="paragraph">
                  <wp:posOffset>137160</wp:posOffset>
                </wp:positionV>
                <wp:extent cx="24288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4288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42715" id="Прямая соединительная линия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5pt,10.8pt" to="19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" strokecolor="blue"/>
            </w:pict>
          </mc:Fallback>
        </mc:AlternateContent>
      </w:r>
    </w:p>
    <w:p w:rsidR="003C7C69" w:rsidRPr="000F19CD" w:rsidRDefault="003C7C69" w:rsidP="003C7C69">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Nå for tiden utarbeider regjeringen en ny </w:t>
      </w:r>
    </w:p>
    <w:p w:rsidR="003C7C69" w:rsidRPr="000F19CD" w:rsidRDefault="003C7C69" w:rsidP="003C7C69">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offentlig utredning om regional politikk og </w:t>
      </w:r>
    </w:p>
    <w:p w:rsidR="003C7C69" w:rsidRPr="000F19CD" w:rsidRDefault="00895BE5" w:rsidP="003C7C69">
      <w:pPr>
        <w:jc w:val="both"/>
        <w:rPr>
          <w:rFonts w:ascii="Times New Roman" w:hAnsi="Times New Roman" w:cs="Times New Roman"/>
          <w:i/>
          <w:color w:val="0000FF"/>
          <w:sz w:val="22"/>
          <w:szCs w:val="22"/>
          <w:lang w:val="nb-NO"/>
        </w:rPr>
      </w:pPr>
      <w:r w:rsidRPr="000F19CD">
        <w:rPr>
          <w:rFonts w:ascii="Times New Roman" w:hAnsi="Times New Roman" w:cs="Times New Roman"/>
          <w:i/>
          <w:color w:val="0000FF"/>
          <w:sz w:val="22"/>
          <w:szCs w:val="22"/>
          <w:lang w:val="nb-NO"/>
        </w:rPr>
        <w:t xml:space="preserve">vurderer andre reformtiltak </w:t>
      </w:r>
      <w:r w:rsidR="003C7C69" w:rsidRPr="000F19CD">
        <w:rPr>
          <w:rFonts w:ascii="Times New Roman" w:hAnsi="Times New Roman" w:cs="Times New Roman"/>
          <w:i/>
          <w:color w:val="0000FF"/>
          <w:sz w:val="22"/>
          <w:szCs w:val="22"/>
          <w:lang w:val="nb-NO"/>
        </w:rPr>
        <w:t xml:space="preserve">for å forbedre </w:t>
      </w:r>
    </w:p>
    <w:p w:rsidR="003C7C69" w:rsidRDefault="003C7C69" w:rsidP="003C7C69">
      <w:pPr>
        <w:jc w:val="both"/>
        <w:rPr>
          <w:rFonts w:ascii="Times New Roman" w:hAnsi="Times New Roman" w:cs="Times New Roman"/>
          <w:i/>
          <w:sz w:val="22"/>
          <w:szCs w:val="22"/>
          <w:lang w:val="nb-NO"/>
        </w:rPr>
      </w:pPr>
      <w:r w:rsidRPr="000F19CD">
        <w:rPr>
          <w:rFonts w:ascii="Times New Roman" w:hAnsi="Times New Roman" w:cs="Times New Roman"/>
          <w:i/>
          <w:color w:val="0000FF"/>
          <w:sz w:val="22"/>
          <w:szCs w:val="22"/>
          <w:lang w:val="nb-NO"/>
        </w:rPr>
        <w:t xml:space="preserve">vertikal og horisontal koordinering </w:t>
      </w:r>
      <w:r w:rsidR="00614B7A">
        <w:rPr>
          <w:rFonts w:ascii="Times New Roman" w:hAnsi="Times New Roman" w:cs="Times New Roman"/>
          <w:i/>
          <w:iCs/>
          <w:noProof/>
          <w:sz w:val="22"/>
          <w:szCs w:val="22"/>
          <w:lang w:val="nb-NO" w:eastAsia="nb-NO"/>
        </w:rPr>
        <mc:AlternateContent>
          <mc:Choice Requires="wps">
            <w:drawing>
              <wp:anchor distT="0" distB="0" distL="114300" distR="114300" simplePos="0" relativeHeight="251694080" behindDoc="0" locked="0" layoutInCell="1" allowOverlap="1" wp14:anchorId="1108673A" wp14:editId="0A6CD28C">
                <wp:simplePos x="0" y="0"/>
                <wp:positionH relativeFrom="column">
                  <wp:posOffset>-22860</wp:posOffset>
                </wp:positionH>
                <wp:positionV relativeFrom="paragraph">
                  <wp:posOffset>350520</wp:posOffset>
                </wp:positionV>
                <wp:extent cx="24288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4288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8BDE2" id="Прямая соединительная линия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pt,27.6pt" to="189.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" strokecolor="blue"/>
            </w:pict>
          </mc:Fallback>
        </mc:AlternateContent>
      </w:r>
    </w:p>
    <w:p w:rsidR="003C7C69" w:rsidRDefault="003C7C69" w:rsidP="003C7C69">
      <w:pPr>
        <w:jc w:val="both"/>
        <w:rPr>
          <w:rFonts w:ascii="Times New Roman" w:hAnsi="Times New Roman" w:cs="Times New Roman"/>
          <w:i/>
          <w:sz w:val="22"/>
          <w:szCs w:val="22"/>
          <w:lang w:val="nb-NO"/>
        </w:rPr>
      </w:pPr>
    </w:p>
    <w:p w:rsidR="003C7C69" w:rsidRPr="00716331" w:rsidRDefault="003C7C69" w:rsidP="003C7C69">
      <w:pPr>
        <w:jc w:val="both"/>
        <w:rPr>
          <w:rFonts w:ascii="Times New Roman" w:hAnsi="Times New Roman" w:cs="Times New Roman"/>
          <w:sz w:val="22"/>
          <w:szCs w:val="22"/>
          <w:lang w:val="nb-NO"/>
        </w:rPr>
      </w:pPr>
    </w:p>
    <w:p w:rsidR="000F19CD" w:rsidRPr="00B36416" w:rsidRDefault="000F19CD" w:rsidP="003C7C69">
      <w:pPr>
        <w:shd w:val="clear" w:color="auto" w:fill="FFFFFF"/>
        <w:ind w:firstLine="720"/>
        <w:jc w:val="both"/>
        <w:rPr>
          <w:rFonts w:ascii="Times New Roman" w:hAnsi="Times New Roman" w:cs="Times New Roman"/>
          <w:sz w:val="22"/>
          <w:szCs w:val="22"/>
          <w:lang w:val="nb-NO"/>
        </w:rPr>
      </w:pPr>
    </w:p>
    <w:p w:rsidR="00614B7A" w:rsidRPr="00716331" w:rsidRDefault="003C7C69" w:rsidP="003C7C69">
      <w:pPr>
        <w:shd w:val="clear" w:color="auto" w:fill="FFFFFF"/>
        <w:ind w:firstLine="7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Forbedring av regionalutviklingens styring vil i noen grad adressere disse problemene. For tiden har Norge en solid sektortilnærming til politikken med nasjonal regjering som setter prioriteter og finansierer arrangementer. Lokale kommuner spiller likevel en sterk rolle i levering av offentlige tjenester og infrastruktur; de er forholdsvis små, og det forårsaker vanskeligheter i tjenestelevering på regionalt og lokalt nivå. For tiden utarbeider regjeringen en ny offentlig utredning om regional politikk. Det fins også to utarbeidede utredninger om regional om kommunal reform som legger frem forslag til noen tiltak for å gi mer makt og autonomi til fylker og kommuner og forbedre mekanismer for vertikal og horisontal koordinering. Disse reformene bør gi mulighet for en mer integrert plassbasert tilnærming til regional og distriktsutvikling. </w:t>
      </w:r>
    </w:p>
    <w:p w:rsidR="00614B7A" w:rsidRPr="00716331" w:rsidRDefault="00614B7A" w:rsidP="0094564B">
      <w:pPr>
        <w:shd w:val="clear" w:color="auto" w:fill="FFFFFF"/>
        <w:ind w:left="14" w:right="4838"/>
        <w:rPr>
          <w:rFonts w:ascii="Times New Roman" w:hAnsi="Times New Roman" w:cs="Times New Roman"/>
          <w:sz w:val="22"/>
          <w:szCs w:val="22"/>
          <w:lang w:val="nb-NO"/>
        </w:rPr>
        <w:sectPr w:rsidR="00614B7A" w:rsidRPr="00716331" w:rsidSect="000F19CD">
          <w:pgSz w:w="11909" w:h="16834"/>
          <w:pgMar w:top="1440" w:right="1136" w:bottom="720" w:left="1970" w:header="720" w:footer="720" w:gutter="0"/>
          <w:cols w:space="60"/>
          <w:noEndnote/>
        </w:sectPr>
      </w:pPr>
    </w:p>
    <w:tbl>
      <w:tblPr>
        <w:tblStyle w:val="Tabellrutenett"/>
        <w:tblW w:w="9498" w:type="dxa"/>
        <w:tblInd w:w="-459" w:type="dxa"/>
        <w:tblLook w:val="04A0" w:firstRow="1" w:lastRow="0" w:firstColumn="1" w:lastColumn="0" w:noHBand="0" w:noVBand="1"/>
      </w:tblPr>
      <w:tblGrid>
        <w:gridCol w:w="9498"/>
      </w:tblGrid>
      <w:tr w:rsidR="00162CFA" w:rsidRPr="00B36416" w:rsidTr="004340AC">
        <w:tc>
          <w:tcPr>
            <w:tcW w:w="9498" w:type="dxa"/>
          </w:tcPr>
          <w:p w:rsidR="000F19CD" w:rsidRPr="00B36416" w:rsidRDefault="000F19CD" w:rsidP="003C7C69">
            <w:pPr>
              <w:jc w:val="center"/>
              <w:rPr>
                <w:rFonts w:ascii="Times New Roman" w:hAnsi="Times New Roman" w:cs="Times New Roman"/>
                <w:b/>
                <w:sz w:val="22"/>
                <w:szCs w:val="22"/>
                <w:lang w:val="nb-NO"/>
              </w:rPr>
            </w:pPr>
          </w:p>
          <w:p w:rsidR="003C7C69" w:rsidRPr="00756E7C" w:rsidRDefault="003C7C69" w:rsidP="003C7C69">
            <w:pPr>
              <w:jc w:val="center"/>
              <w:rPr>
                <w:rFonts w:ascii="Times New Roman" w:hAnsi="Times New Roman" w:cs="Times New Roman"/>
                <w:b/>
                <w:sz w:val="22"/>
                <w:szCs w:val="22"/>
                <w:lang w:val="nb-NO"/>
              </w:rPr>
            </w:pPr>
            <w:r w:rsidRPr="00756E7C">
              <w:rPr>
                <w:rFonts w:ascii="Times New Roman" w:hAnsi="Times New Roman" w:cs="Times New Roman"/>
                <w:b/>
                <w:sz w:val="22"/>
                <w:szCs w:val="22"/>
                <w:lang w:val="nb-NO"/>
              </w:rPr>
              <w:t>Anbefalinger på nasjonalt nivå for å støtte vekst i Nord-Norge</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1. Støtte entreprenørskap og innovasjon i Norges nordområder ved å:</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a. forsterke initiativ som bygger opp skala og knytter små og mellomstore bedrifter sammen for å få tilgang til utenriksmarkeder, samt FoU og innovasjonsmuligheter (spesielt ekstra muligheter i nisjer relatert til fiskeri og havbruk, foredlingsindustri, og turisme)</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b. legge til rette for sammenknytting og komplementaritet mellom smarte spesialiseringsstrategier utarbeidet av hvert av de tre fylkene, inkludert mulighet for å knytte beslektede firmaer, og relasjonsbygging med forskningsinstitusjoner i Sør-Norge og på tvers av de nordlige tynt befolkede områdene</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c. forbedre finansieringstilgang for lokale nyetablerte foretak og små og mellomstore bedrifter ved kombinasjon av mekling og tilretteleging for relasjoner med investeringsfond sør i landet, og undersøke effektivitet i et fond for risikovillig kapital i nord basert på finansmodell for samfunnsutvikling. </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2. Forbedre transport og tilgjengelighet i Nord-Norge ved å:</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a. sørge for målrettede regionale incitamenter og støtte til distriktsområder (hvor det er mangel på tilstrekkelig omfang for private leverandører) i nordområdene for å adressere bredbåndsforskjeller, utvikle initiativ for e-tjenester i distriktssamfunn og utveksle gode metoder (særlig når det gjelder valgmuligheter og overgangsstøtte for skoleelever i avsidesliggende områder)</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b. støtte de tre nor</w:t>
            </w:r>
            <w:r w:rsidR="00895BE5">
              <w:rPr>
                <w:rFonts w:ascii="Times New Roman" w:hAnsi="Times New Roman" w:cs="Times New Roman"/>
                <w:sz w:val="22"/>
                <w:szCs w:val="22"/>
                <w:lang w:val="nb-NO"/>
              </w:rPr>
              <w:t>dlige fylkene for å utarbeide et</w:t>
            </w:r>
            <w:r w:rsidRPr="00756E7C">
              <w:rPr>
                <w:rFonts w:ascii="Times New Roman" w:hAnsi="Times New Roman" w:cs="Times New Roman"/>
                <w:sz w:val="22"/>
                <w:szCs w:val="22"/>
                <w:lang w:val="nb-NO"/>
              </w:rPr>
              <w:t xml:space="preserve"> felles </w:t>
            </w:r>
            <w:r w:rsidR="00895BE5">
              <w:rPr>
                <w:rFonts w:ascii="Times New Roman" w:hAnsi="Times New Roman" w:cs="Times New Roman"/>
                <w:sz w:val="22"/>
                <w:szCs w:val="22"/>
                <w:lang w:val="nb-NO"/>
              </w:rPr>
              <w:t>ståsted</w:t>
            </w:r>
            <w:r w:rsidRPr="00756E7C">
              <w:rPr>
                <w:rFonts w:ascii="Times New Roman" w:hAnsi="Times New Roman" w:cs="Times New Roman"/>
                <w:sz w:val="22"/>
                <w:szCs w:val="22"/>
                <w:lang w:val="nb-NO"/>
              </w:rPr>
              <w:t xml:space="preserve"> i transportprioriteter som kan vurderes og håndteres inne</w:t>
            </w:r>
            <w:r w:rsidR="00895BE5">
              <w:rPr>
                <w:rFonts w:ascii="Times New Roman" w:hAnsi="Times New Roman" w:cs="Times New Roman"/>
                <w:sz w:val="22"/>
                <w:szCs w:val="22"/>
                <w:lang w:val="nb-NO"/>
              </w:rPr>
              <w:t>n</w:t>
            </w:r>
            <w:r w:rsidRPr="00756E7C">
              <w:rPr>
                <w:rFonts w:ascii="Times New Roman" w:hAnsi="Times New Roman" w:cs="Times New Roman"/>
                <w:sz w:val="22"/>
                <w:szCs w:val="22"/>
                <w:lang w:val="nb-NO"/>
              </w:rPr>
              <w:t>for prosessen for prioritetssetting i nasjonal transportplan (en mer integrert tilnærming er forsvarlig for disse regionene på grunn av unik kombinasjon av problemer knyttet til klimaforhold, kyst- og øysamfunn, lav befolkningstetthet, og transportforbindelser på tvers av grenser).</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3. Øke fylkesråds rolle i samordning av ferdigheter og utdannelse i partnerskap med aktuelle deltakere. Det inne</w:t>
            </w:r>
            <w:r w:rsidR="00895BE5">
              <w:rPr>
                <w:rFonts w:ascii="Times New Roman" w:hAnsi="Times New Roman" w:cs="Times New Roman"/>
                <w:sz w:val="22"/>
                <w:szCs w:val="22"/>
                <w:lang w:val="nb-NO"/>
              </w:rPr>
              <w:t>bærer</w:t>
            </w:r>
            <w:r w:rsidRPr="00756E7C">
              <w:rPr>
                <w:rFonts w:ascii="Times New Roman" w:hAnsi="Times New Roman" w:cs="Times New Roman"/>
                <w:sz w:val="22"/>
                <w:szCs w:val="22"/>
                <w:lang w:val="nb-NO"/>
              </w:rPr>
              <w:t xml:space="preserve"> setting av strategiske prioriteter for utdanning og opplæring, økt omfang for tilpasning og tilrettelegging av kurs for lokale behov, og proaktivt arbeid med forretningsmenn (særlig sektor for små og mellomstore bedrifter) for å adressere misforhold mellom ferdigheter.</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4. Sørge for at offentlig utredning om distrikts- og regionalpolitikk inneholder evaluering av hvordan nasjonale sektorpolitikker kan </w:t>
            </w:r>
            <w:r w:rsidR="00895BE5" w:rsidRPr="00756E7C">
              <w:rPr>
                <w:rFonts w:ascii="Times New Roman" w:hAnsi="Times New Roman" w:cs="Times New Roman"/>
                <w:sz w:val="22"/>
                <w:szCs w:val="22"/>
                <w:lang w:val="nb-NO"/>
              </w:rPr>
              <w:t xml:space="preserve">bedre </w:t>
            </w:r>
            <w:r w:rsidRPr="00756E7C">
              <w:rPr>
                <w:rFonts w:ascii="Times New Roman" w:hAnsi="Times New Roman" w:cs="Times New Roman"/>
                <w:sz w:val="22"/>
                <w:szCs w:val="22"/>
                <w:lang w:val="nb-NO"/>
              </w:rPr>
              <w:t xml:space="preserve">tilrettelegges for å understøtte faktorer som muliggjør produktivitetsøkning i Nord-Norge (for eksempel ferdigheter, sysselsetting, høyere utdanning og forskning, og transport). </w:t>
            </w:r>
          </w:p>
          <w:p w:rsidR="00162CFA" w:rsidRPr="003C7C69"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5. Forbedre styring av regional utvikling i nordområdene ved å: </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a. støtte kommuner for å organisere planlegging og tjenestelevering i lokale arbeidsmarkeders målestokk, særlig for å forsterke forbindelser med byområder</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b. gi ytterligere støtte og stimulere samarbeid og samforetak mellom de tre nordlige fylkene i utforming og levering av nasjonal politikk (for eksempel relatert til prioritering og levering av forbedringer til transportnettverk)</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c. justere geografiske grenser for forvaltningskontorer i nasjonale ministerier på regionalt nivå for å sørge for en bedre plattform for samordning mellom styringsnivåer </w:t>
            </w:r>
          </w:p>
          <w:p w:rsidR="004340AC" w:rsidRDefault="003C7C69" w:rsidP="000F19CD">
            <w:pPr>
              <w:shd w:val="clear" w:color="auto" w:fill="FFFFFF"/>
              <w:spacing w:before="120"/>
              <w:ind w:right="675"/>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d. forsterke mekanismer for å engasjere nasjonale sektorministerier i planlegging innenfor regional og distriktsutvikling og beslutningstaking </w:t>
            </w:r>
          </w:p>
          <w:p w:rsidR="003C7C69" w:rsidRPr="00756E7C" w:rsidRDefault="003C7C69" w:rsidP="000F19CD">
            <w:pPr>
              <w:spacing w:before="120"/>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e. forsterke den regionale dimensjonen i regjeringens nordområdepolitikk ved å sørge for at de nordlige fylkene er engasjert i prioritering og utforming av initiativer utviklet under denne politikken. </w:t>
            </w:r>
          </w:p>
          <w:p w:rsidR="004340AC" w:rsidRPr="00716331" w:rsidRDefault="004340AC" w:rsidP="004340AC">
            <w:pPr>
              <w:shd w:val="clear" w:color="auto" w:fill="FFFFFF"/>
              <w:ind w:left="317" w:right="677" w:hanging="209"/>
              <w:jc w:val="both"/>
              <w:rPr>
                <w:rFonts w:ascii="Times New Roman" w:hAnsi="Times New Roman" w:cs="Times New Roman"/>
                <w:sz w:val="22"/>
                <w:szCs w:val="22"/>
                <w:lang w:val="nb-NO"/>
              </w:rPr>
            </w:pPr>
          </w:p>
        </w:tc>
      </w:tr>
    </w:tbl>
    <w:p w:rsidR="004340AC" w:rsidRPr="00716331" w:rsidRDefault="004340AC">
      <w:pPr>
        <w:widowControl/>
        <w:autoSpaceDE/>
        <w:autoSpaceDN/>
        <w:adjustRightInd/>
        <w:spacing w:after="200" w:line="276" w:lineRule="auto"/>
        <w:rPr>
          <w:rFonts w:ascii="Times New Roman" w:hAnsi="Times New Roman" w:cs="Times New Roman"/>
          <w:sz w:val="22"/>
          <w:szCs w:val="22"/>
          <w:lang w:val="nb-NO"/>
        </w:rPr>
      </w:pPr>
    </w:p>
    <w:p w:rsidR="000F19CD" w:rsidRDefault="000F19CD">
      <w:pPr>
        <w:widowControl/>
        <w:autoSpaceDE/>
        <w:autoSpaceDN/>
        <w:adjustRightInd/>
        <w:spacing w:after="200" w:line="276" w:lineRule="auto"/>
        <w:rPr>
          <w:rFonts w:ascii="Times New Roman" w:hAnsi="Times New Roman" w:cs="Times New Roman"/>
          <w:b/>
          <w:sz w:val="22"/>
          <w:szCs w:val="22"/>
          <w:lang w:val="nb-NO"/>
        </w:rPr>
      </w:pPr>
      <w:r>
        <w:rPr>
          <w:rFonts w:ascii="Times New Roman" w:hAnsi="Times New Roman" w:cs="Times New Roman"/>
          <w:b/>
          <w:sz w:val="22"/>
          <w:szCs w:val="22"/>
          <w:lang w:val="nb-NO"/>
        </w:rPr>
        <w:br w:type="page"/>
      </w:r>
    </w:p>
    <w:p w:rsidR="0016460E" w:rsidRPr="000F19CD" w:rsidRDefault="00B36416" w:rsidP="0016460E">
      <w:pPr>
        <w:jc w:val="both"/>
        <w:rPr>
          <w:rFonts w:ascii="Times New Roman" w:hAnsi="Times New Roman" w:cs="Times New Roman"/>
          <w:b/>
          <w:sz w:val="24"/>
          <w:szCs w:val="22"/>
          <w:lang w:val="nb-NO"/>
        </w:rPr>
      </w:pPr>
      <w:r>
        <w:rPr>
          <w:rFonts w:ascii="Times New Roman" w:hAnsi="Times New Roman" w:cs="Times New Roman"/>
          <w:b/>
          <w:sz w:val="24"/>
          <w:szCs w:val="22"/>
          <w:lang w:val="nb-NO"/>
        </w:rPr>
        <w:lastRenderedPageBreak/>
        <w:t>NSPA</w:t>
      </w:r>
      <w:r w:rsidR="0016460E" w:rsidRPr="000F19CD">
        <w:rPr>
          <w:rFonts w:ascii="Times New Roman" w:hAnsi="Times New Roman" w:cs="Times New Roman"/>
          <w:b/>
          <w:sz w:val="24"/>
          <w:szCs w:val="22"/>
          <w:lang w:val="nb-NO"/>
        </w:rPr>
        <w:t xml:space="preserve">-anbefalinger for Sverige </w:t>
      </w:r>
    </w:p>
    <w:p w:rsidR="009C645B" w:rsidRPr="00716331" w:rsidRDefault="009C645B" w:rsidP="0094564B">
      <w:pPr>
        <w:shd w:val="clear" w:color="auto" w:fill="FFFFFF"/>
        <w:ind w:left="38"/>
        <w:rPr>
          <w:rFonts w:ascii="Times New Roman" w:hAnsi="Times New Roman" w:cs="Times New Roman"/>
          <w:b/>
          <w:sz w:val="22"/>
          <w:szCs w:val="22"/>
          <w:lang w:val="nb-NO"/>
        </w:rPr>
      </w:pPr>
    </w:p>
    <w:p w:rsidR="004340AC" w:rsidRPr="00716331" w:rsidRDefault="004340AC" w:rsidP="0094564B">
      <w:pPr>
        <w:shd w:val="clear" w:color="auto" w:fill="FFFFFF"/>
        <w:ind w:left="38"/>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95104" behindDoc="0" locked="0" layoutInCell="1" allowOverlap="1" wp14:anchorId="098C4811" wp14:editId="65B576B6">
                <wp:simplePos x="0" y="0"/>
                <wp:positionH relativeFrom="column">
                  <wp:posOffset>8255</wp:posOffset>
                </wp:positionH>
                <wp:positionV relativeFrom="paragraph">
                  <wp:posOffset>115570</wp:posOffset>
                </wp:positionV>
                <wp:extent cx="2486025" cy="0"/>
                <wp:effectExtent l="0" t="0" r="952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4860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48C17" id="Прямая соединительная линия 2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5pt,9.1pt" to="19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" strokecolor="blue"/>
            </w:pict>
          </mc:Fallback>
        </mc:AlternateConten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Det har vært god økonomisk fungering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i Nord-Sveriges regioner, spesielt i områder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med råvereforbrukende industrier</w:t>
      </w:r>
    </w:p>
    <w:p w:rsidR="009C645B" w:rsidRPr="00716331" w:rsidRDefault="009C645B" w:rsidP="0094564B">
      <w:pPr>
        <w:shd w:val="clear" w:color="auto" w:fill="FFFFFF"/>
        <w:ind w:right="5299"/>
        <w:rPr>
          <w:rFonts w:ascii="Times New Roman" w:hAnsi="Times New Roman" w:cs="Times New Roman"/>
          <w:sz w:val="22"/>
          <w:szCs w:val="22"/>
          <w:lang w:val="nb-NO"/>
        </w:rPr>
      </w:pPr>
    </w:p>
    <w:p w:rsidR="0016460E" w:rsidRPr="00716331" w:rsidRDefault="0016460E" w:rsidP="0094564B">
      <w:pPr>
        <w:shd w:val="clear" w:color="auto" w:fill="FFFFFF"/>
        <w:ind w:right="5299"/>
        <w:rPr>
          <w:rFonts w:ascii="Times New Roman" w:hAnsi="Times New Roman" w:cs="Times New Roman"/>
          <w:sz w:val="22"/>
          <w:szCs w:val="22"/>
          <w:lang w:val="nb-NO"/>
        </w:rPr>
      </w:pPr>
      <w:r>
        <w:rPr>
          <w:rFonts w:ascii="Times New Roman" w:hAnsi="Times New Roman" w:cs="Times New Roman"/>
          <w:noProof/>
          <w:sz w:val="22"/>
          <w:szCs w:val="22"/>
          <w:lang w:val="nb-NO" w:eastAsia="nb-NO"/>
        </w:rPr>
        <mc:AlternateContent>
          <mc:Choice Requires="wps">
            <w:drawing>
              <wp:anchor distT="0" distB="0" distL="114300" distR="114300" simplePos="0" relativeHeight="251697152" behindDoc="0" locked="0" layoutInCell="1" allowOverlap="1" wp14:anchorId="49BC600B" wp14:editId="5ABD4FCD">
                <wp:simplePos x="0" y="0"/>
                <wp:positionH relativeFrom="column">
                  <wp:posOffset>8255</wp:posOffset>
                </wp:positionH>
                <wp:positionV relativeFrom="paragraph">
                  <wp:posOffset>50165</wp:posOffset>
                </wp:positionV>
                <wp:extent cx="248602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48602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E2FE3" id="Прямая соединительная линия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5pt,3.95pt" to="19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" strokecolor="blue"/>
            </w:pict>
          </mc:Fallback>
        </mc:AlternateContent>
      </w:r>
    </w:p>
    <w:p w:rsidR="004340AC" w:rsidRPr="00716331" w:rsidRDefault="004340AC" w:rsidP="0094564B">
      <w:pPr>
        <w:shd w:val="clear" w:color="auto" w:fill="FFFFFF"/>
        <w:ind w:left="686" w:right="662" w:firstLine="336"/>
        <w:jc w:val="both"/>
        <w:rPr>
          <w:rFonts w:ascii="Times New Roman" w:hAnsi="Times New Roman" w:cs="Times New Roman"/>
          <w:sz w:val="22"/>
          <w:szCs w:val="22"/>
          <w:lang w:val="nb-NO"/>
        </w:rPr>
      </w:pPr>
    </w:p>
    <w:p w:rsidR="0016460E" w:rsidRPr="00756E7C" w:rsidRDefault="0016460E" w:rsidP="0016460E">
      <w:pPr>
        <w:ind w:firstLine="691"/>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De nordlige tynt befolkede områdene i Sverige (Jämtland Härjedalen, Norrbotten, Västerbotten og Väs</w:t>
      </w:r>
      <w:r w:rsidR="006D6B27">
        <w:rPr>
          <w:rFonts w:ascii="Times New Roman" w:hAnsi="Times New Roman" w:cs="Times New Roman"/>
          <w:sz w:val="22"/>
          <w:szCs w:val="22"/>
          <w:lang w:val="nb-NO"/>
        </w:rPr>
        <w:t xml:space="preserve">ternorrland) utgjør 8.6% av </w:t>
      </w:r>
      <w:r w:rsidRPr="00756E7C">
        <w:rPr>
          <w:rFonts w:ascii="Times New Roman" w:hAnsi="Times New Roman" w:cs="Times New Roman"/>
          <w:sz w:val="22"/>
          <w:szCs w:val="22"/>
          <w:lang w:val="nb-NO"/>
        </w:rPr>
        <w:t>nasjonal</w:t>
      </w:r>
      <w:r w:rsidR="006D6B27">
        <w:rPr>
          <w:rFonts w:ascii="Times New Roman" w:hAnsi="Times New Roman" w:cs="Times New Roman"/>
          <w:sz w:val="22"/>
          <w:szCs w:val="22"/>
          <w:lang w:val="nb-NO"/>
        </w:rPr>
        <w:t xml:space="preserve"> økonomi</w:t>
      </w:r>
      <w:r w:rsidRPr="00756E7C">
        <w:rPr>
          <w:rFonts w:ascii="Times New Roman" w:hAnsi="Times New Roman" w:cs="Times New Roman"/>
          <w:sz w:val="22"/>
          <w:szCs w:val="22"/>
          <w:lang w:val="nb-NO"/>
        </w:rPr>
        <w:t>, 9.1% av landets befolkning og 54.6% av dets fastlandsområder. Tømmer og papir, kjemikalier, mineraler og basismetaller er Sveriges hovedeksportartikler og viktige for landets samlede økonomiske innsats. Disse industriene ligger stort sett nord i landet. Nord-Sveriges økonomiske innsats er viktig for landet som helhet. I Nord-Sverige utvinnes jern og tømmer og så foredles i større sentre i byer som Luleå, Umeå og Sundsvall langs kystkorridoren. Disse foredlede produktene (for eksempel stålprodukter, tømmer og cellulose) transporteres videre over lange avstander til steder i Sør-Sverige og på tvers av Europa. Dette sørger for kritiske produksjonsfaktorer for produksjonssektor i Sør-Sverige og for faglige og tekniske tjenester lokalisert i hovedstaden. Transport av disse varene underbygger viktigheten av  kapasitet og effektivitet av transportnettverk for Nord-Sverige. De nordlige områdene spiller også en viktig rolle i den</w:t>
      </w:r>
      <w:r>
        <w:rPr>
          <w:rFonts w:ascii="Times New Roman" w:hAnsi="Times New Roman" w:cs="Times New Roman"/>
          <w:sz w:val="24"/>
          <w:szCs w:val="24"/>
          <w:lang w:val="nb-NO"/>
        </w:rPr>
        <w:t xml:space="preserve"> </w:t>
      </w:r>
      <w:r w:rsidRPr="00756E7C">
        <w:rPr>
          <w:rFonts w:ascii="Times New Roman" w:hAnsi="Times New Roman" w:cs="Times New Roman"/>
          <w:sz w:val="22"/>
          <w:szCs w:val="22"/>
          <w:lang w:val="nb-NO"/>
        </w:rPr>
        <w:t xml:space="preserve">nasjonale energisektoren der over halvparten av landets energiproduksjon kommer fra vannkraft. </w:t>
      </w:r>
    </w:p>
    <w:p w:rsidR="009C645B" w:rsidRPr="00716331" w:rsidRDefault="009C645B" w:rsidP="0094564B">
      <w:pPr>
        <w:shd w:val="clear" w:color="auto" w:fill="FFFFFF"/>
        <w:ind w:left="686" w:right="662" w:firstLine="336"/>
        <w:jc w:val="both"/>
        <w:rPr>
          <w:rFonts w:ascii="Times New Roman" w:hAnsi="Times New Roman" w:cs="Times New Roman"/>
          <w:sz w:val="22"/>
          <w:szCs w:val="22"/>
          <w:lang w:val="nb-NO"/>
        </w:rPr>
      </w:pPr>
    </w:p>
    <w:p w:rsidR="0016460E" w:rsidRPr="00756E7C" w:rsidRDefault="0016460E" w:rsidP="0016460E">
      <w:pPr>
        <w:ind w:firstLine="691"/>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Det er sammensatt økonomisk innsats sammenlignet med nasjonalt gjennomsnitt. De sterkeste utøverne har vært de nordligste regionene Norrbotten og Västerbotten. I perioden 1995-2012 vokste disse regionene med 2.23% og 1.87% sammenlignet med nasjonalt gjennomsnitt på 2.43%. Særlig har Norrbotten dratt nytte av sitt sterke grunnlag for gruvedrift. Begge regionene har også kombinert økende produktivitet og jobbvekst på nivåer over nasjonalt nivå. De svakere utøverne har vært Västernorrland og Jämtland Härjedalen. I samme periode vokste økonomiene i disse regionene med årlig gjennomsnitt på 0.97% og 0.98% henholdsvis. Västernorrland har imidlertid også hatt en imponerende produktivitetsinnsats med en betydelig del forårsaket av reduksjon i arbeidsstokk. Jämtland Härjedalen har opplevd svekkende produktivitet og jobbvekst, spesielt etter krisen. Ungdomsarbeidsledighet øker også raskere i disse regionene i kjølvannet av krisen sammenlignet med Norrbotten og Västerbotten. </w:t>
      </w:r>
    </w:p>
    <w:p w:rsidR="006303C0" w:rsidRPr="00716331" w:rsidRDefault="006303C0" w:rsidP="0094564B">
      <w:pPr>
        <w:shd w:val="clear" w:color="auto" w:fill="FFFFFF"/>
        <w:ind w:left="691" w:right="19" w:firstLine="355"/>
        <w:jc w:val="both"/>
        <w:rPr>
          <w:rFonts w:ascii="Times New Roman" w:hAnsi="Times New Roman" w:cs="Times New Roman"/>
          <w:sz w:val="22"/>
          <w:szCs w:val="22"/>
          <w:lang w:val="nb-NO"/>
        </w:rPr>
      </w:pPr>
    </w:p>
    <w:p w:rsidR="0016460E" w:rsidRPr="00756E7C" w:rsidRDefault="0016460E" w:rsidP="0016460E">
      <w:pPr>
        <w:ind w:firstLine="691"/>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Det er forskjellig vekstdynamikk i disse regionene basert på deres ressursmidler, beliggenhet, fabrikkindustri, og befolkningsstørrelse og -tetthet. Disse regionene ligger lengst nord, og det skaper utfordringer (for eksempel når det gjelder veivedlikehold), men også betydelige muligheter (for eksempel datasentre og teknologiutprøving). Norrbotten har utbytte av jernmalmutvinning og i mindre grad skogbruk og relatert merverdi. Västernorrland og Västerbotten har store skogindustrier, men de har også kunnet utvikle byøkonomi basert rundt offenlige og private tjenesteleveranser og merverdiproduksjon. Västerbotten drar også nytte av et betydelig nærvær av høyere utdanning, samt av gruvevirksomhet. Jämtland Härjedalen har sterkt fokus på og historie av reiselivsutvikling, og på ingeniørintensiv produksjon. </w:t>
      </w:r>
    </w:p>
    <w:p w:rsidR="009C645B" w:rsidRPr="00716331" w:rsidRDefault="009C645B" w:rsidP="0094564B">
      <w:pPr>
        <w:shd w:val="clear" w:color="auto" w:fill="FFFFFF"/>
        <w:ind w:left="691" w:firstLine="355"/>
        <w:jc w:val="both"/>
        <w:rPr>
          <w:rFonts w:ascii="Times New Roman" w:hAnsi="Times New Roman" w:cs="Times New Roman"/>
          <w:sz w:val="22"/>
          <w:szCs w:val="22"/>
          <w:lang w:val="nb-NO"/>
        </w:rPr>
      </w:pPr>
    </w:p>
    <w:p w:rsidR="006303C0" w:rsidRPr="00716331" w:rsidRDefault="006303C0">
      <w:pPr>
        <w:widowControl/>
        <w:autoSpaceDE/>
        <w:autoSpaceDN/>
        <w:adjustRightInd/>
        <w:spacing w:after="200" w:line="276" w:lineRule="auto"/>
        <w:rPr>
          <w:rFonts w:ascii="Times New Roman" w:hAnsi="Times New Roman" w:cs="Times New Roman"/>
          <w:b/>
          <w:bCs/>
          <w:sz w:val="22"/>
          <w:szCs w:val="22"/>
          <w:lang w:val="nb-NO"/>
        </w:rPr>
      </w:pPr>
      <w:r w:rsidRPr="00716331">
        <w:rPr>
          <w:rFonts w:ascii="Times New Roman" w:hAnsi="Times New Roman" w:cs="Times New Roman"/>
          <w:b/>
          <w:bCs/>
          <w:sz w:val="22"/>
          <w:szCs w:val="22"/>
          <w:lang w:val="nb-NO"/>
        </w:rPr>
        <w:br w:type="page"/>
      </w:r>
    </w:p>
    <w:p w:rsidR="006303C0" w:rsidRPr="00716331" w:rsidRDefault="006303C0" w:rsidP="0094564B">
      <w:pPr>
        <w:shd w:val="clear" w:color="auto" w:fill="FFFFFF"/>
        <w:ind w:right="4646"/>
        <w:rPr>
          <w:rFonts w:ascii="Times New Roman" w:hAnsi="Times New Roman" w:cs="Times New Roman"/>
          <w:i/>
          <w:iCs/>
          <w:sz w:val="22"/>
          <w:szCs w:val="22"/>
          <w:lang w:val="nb-NO"/>
        </w:rPr>
      </w:pPr>
      <w:r>
        <w:rPr>
          <w:rFonts w:ascii="Times New Roman" w:hAnsi="Times New Roman" w:cs="Times New Roman"/>
          <w:i/>
          <w:iCs/>
          <w:noProof/>
          <w:sz w:val="22"/>
          <w:szCs w:val="22"/>
          <w:lang w:val="nb-NO" w:eastAsia="nb-NO"/>
        </w:rPr>
        <w:lastRenderedPageBreak/>
        <mc:AlternateContent>
          <mc:Choice Requires="wps">
            <w:drawing>
              <wp:anchor distT="0" distB="0" distL="114300" distR="114300" simplePos="0" relativeHeight="251698176" behindDoc="0" locked="0" layoutInCell="1" allowOverlap="1">
                <wp:simplePos x="0" y="0"/>
                <wp:positionH relativeFrom="column">
                  <wp:posOffset>-13336</wp:posOffset>
                </wp:positionH>
                <wp:positionV relativeFrom="paragraph">
                  <wp:posOffset>95250</wp:posOffset>
                </wp:positionV>
                <wp:extent cx="23526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3526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9EDEA" id="Прямая соединительная линия 2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5pt,7.5pt" to="18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" strokecolor="blue"/>
            </w:pict>
          </mc:Fallback>
        </mc:AlternateConten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Bedre involvering av regionalt nivå i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nasjonale sektorpolitikker kunne bidra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til å oppnå formål med Sveriges nasjonale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strategi for regional vekst </w:t>
      </w:r>
    </w:p>
    <w:p w:rsidR="009C645B" w:rsidRPr="00716331" w:rsidRDefault="009C645B" w:rsidP="0094564B">
      <w:pPr>
        <w:shd w:val="clear" w:color="auto" w:fill="FFFFFF"/>
        <w:ind w:right="4646"/>
        <w:rPr>
          <w:rFonts w:ascii="Times New Roman" w:hAnsi="Times New Roman" w:cs="Times New Roman"/>
          <w:sz w:val="22"/>
          <w:szCs w:val="22"/>
          <w:lang w:val="nb-NO"/>
        </w:rPr>
      </w:pPr>
    </w:p>
    <w:p w:rsidR="009C645B" w:rsidRPr="00716331" w:rsidRDefault="0016460E" w:rsidP="0094564B">
      <w:pPr>
        <w:shd w:val="clear" w:color="auto" w:fill="FFFFFF"/>
        <w:ind w:right="4646"/>
        <w:rPr>
          <w:rFonts w:ascii="Times New Roman" w:hAnsi="Times New Roman" w:cs="Times New Roman"/>
          <w:sz w:val="22"/>
          <w:szCs w:val="22"/>
          <w:lang w:val="nb-NO"/>
        </w:rPr>
      </w:pPr>
      <w:r w:rsidRPr="006303C0">
        <w:rPr>
          <w:rFonts w:ascii="Times New Roman" w:hAnsi="Times New Roman" w:cs="Times New Roman"/>
          <w:i/>
          <w:iCs/>
          <w:noProof/>
          <w:sz w:val="22"/>
          <w:szCs w:val="22"/>
          <w:lang w:val="nb-NO" w:eastAsia="nb-NO"/>
        </w:rPr>
        <mc:AlternateContent>
          <mc:Choice Requires="wps">
            <w:drawing>
              <wp:anchor distT="0" distB="0" distL="114300" distR="114300" simplePos="0" relativeHeight="251700224" behindDoc="0" locked="0" layoutInCell="1" allowOverlap="1" wp14:anchorId="2CB3FEE0" wp14:editId="1045ABBF">
                <wp:simplePos x="0" y="0"/>
                <wp:positionH relativeFrom="column">
                  <wp:posOffset>-13335</wp:posOffset>
                </wp:positionH>
                <wp:positionV relativeFrom="paragraph">
                  <wp:posOffset>31115</wp:posOffset>
                </wp:positionV>
                <wp:extent cx="235267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3526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3961D" id="Прямая соединительная линия 2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5pt,2.45pt" to="18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" strokecolor="blue"/>
            </w:pict>
          </mc:Fallback>
        </mc:AlternateContent>
      </w:r>
    </w:p>
    <w:p w:rsidR="006303C0" w:rsidRPr="00716331" w:rsidRDefault="006303C0" w:rsidP="0094564B">
      <w:pPr>
        <w:shd w:val="clear" w:color="auto" w:fill="FFFFFF"/>
        <w:ind w:right="4646"/>
        <w:rPr>
          <w:rFonts w:ascii="Times New Roman" w:hAnsi="Times New Roman" w:cs="Times New Roman"/>
          <w:sz w:val="22"/>
          <w:szCs w:val="22"/>
          <w:lang w:val="nb-NO"/>
        </w:rPr>
      </w:pPr>
    </w:p>
    <w:p w:rsidR="0016460E" w:rsidRPr="00756E7C" w:rsidRDefault="0016460E" w:rsidP="0016460E">
      <w:pPr>
        <w:ind w:firstLine="346"/>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En stedsbasert tilnærming til regional- og distriktsutvikling vil bli avgjørende for organisering og levering av tilnærmingen for å investere i sentrale muliggjørende faktorer. I overensstemmelse med god OECD-praksis sørger rammeverk for nasjonal regionalpolitikk </w:t>
      </w:r>
      <w:r w:rsidRPr="00756E7C">
        <w:rPr>
          <w:rFonts w:ascii="Times New Roman" w:hAnsi="Times New Roman" w:cs="Times New Roman"/>
          <w:i/>
          <w:sz w:val="22"/>
          <w:szCs w:val="22"/>
          <w:lang w:val="nb-NO"/>
        </w:rPr>
        <w:t xml:space="preserve">Sveriges nasjonale strategi for bærekraftig regional vekst og attraktivitet </w:t>
      </w:r>
      <w:r w:rsidRPr="00756E7C">
        <w:rPr>
          <w:rFonts w:ascii="Times New Roman" w:hAnsi="Times New Roman" w:cs="Times New Roman"/>
          <w:sz w:val="22"/>
          <w:szCs w:val="22"/>
          <w:lang w:val="nb-NO"/>
        </w:rPr>
        <w:t xml:space="preserve">for et rammeverk for investering i disse muliggjørende faktorene og veileder i bruk av Det europeiske regionale utviklingsfondet (ERDF) i landet. Utviklingsstrategi i hver region anvender dette rammeverket til sine behov og forhold. Likevel har denne finansieringen et forholdsvis lite omfang, og realisering av vekstpotensial i disse regionene avhenger av effektiv kontakt og innflytelse på nasjonale sektorpolitikker. Forskjellige styringsorganer har også ansvar for å stille Det europeiske sosialfond (ESF) og Det europeiske landbruksfond for distriktsutvikling (EARDF) til disposisjon på regionalt nivå som øker risiko for fragmentert tilnærming til investering som er i uoverensstemmelse med sammenhengende vekststrategi for hver region. </w:t>
      </w:r>
    </w:p>
    <w:p w:rsidR="00762FCB" w:rsidRPr="00716331" w:rsidRDefault="00762FCB" w:rsidP="00762FCB">
      <w:pPr>
        <w:shd w:val="clear" w:color="auto" w:fill="FFFFFF"/>
        <w:ind w:firstLine="346"/>
        <w:jc w:val="both"/>
        <w:rPr>
          <w:rFonts w:ascii="Times New Roman" w:hAnsi="Times New Roman" w:cs="Times New Roman"/>
          <w:sz w:val="22"/>
          <w:szCs w:val="22"/>
          <w:lang w:val="nb-NO"/>
        </w:rPr>
      </w:pPr>
    </w:p>
    <w:p w:rsidR="0016460E" w:rsidRPr="00756E7C" w:rsidRDefault="0016460E" w:rsidP="0016460E">
      <w:pPr>
        <w:ind w:firstLine="346"/>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I Sverige viser nasjonale sektorpolitikker en tendens til å utformes på nedadgående måte for hele nasjonalterritoriet. Utover noen kapasitetsbyggingstiltak og tilgang til nasjonale programmer er ikke nasjonal innovasjonsagenda knyttet godt til regionalt nivå. Nasjonal politikk fokuserer på avanserte teknologier og finansiering i større omfang av FoU knyttet til dem, og det er i uoverensstemmelse med innovasjonsprofil for mange foretak i nordområdene. Organer  ansvarlige for regional utvikling har dårlig og inkonsekvent deltakelse i transportplanlegging og prioritering, og det samme gjelder romplanlegging. Regionalt nivå mangler også innflytelse på utforming og leveranse av sentrale sosiale tjenester, og det er åpenbart i utdannings- og ferdighetssystemet. I grunnen er ikke nasjonale sektorpolitikker effektivt skreddersydd eller tilpasset til unike og varierte forhold som Sveriges fire nordlige tynt befolkede områder står overfor. </w:t>
      </w:r>
    </w:p>
    <w:p w:rsidR="0016460E" w:rsidRPr="00716331" w:rsidRDefault="0016460E" w:rsidP="0094564B">
      <w:pPr>
        <w:shd w:val="clear" w:color="auto" w:fill="FFFFFF"/>
        <w:ind w:right="4709"/>
        <w:jc w:val="both"/>
        <w:rPr>
          <w:rFonts w:ascii="Times New Roman" w:hAnsi="Times New Roman" w:cs="Times New Roman"/>
          <w:sz w:val="22"/>
          <w:szCs w:val="22"/>
          <w:lang w:val="nb-NO"/>
        </w:rPr>
      </w:pPr>
    </w:p>
    <w:p w:rsidR="00762FCB" w:rsidRPr="00716331" w:rsidRDefault="00762FCB" w:rsidP="0094564B">
      <w:pPr>
        <w:shd w:val="clear" w:color="auto" w:fill="FFFFFF"/>
        <w:ind w:right="4709"/>
        <w:jc w:val="both"/>
        <w:rPr>
          <w:rFonts w:ascii="Times New Roman" w:hAnsi="Times New Roman" w:cs="Times New Roman"/>
          <w:i/>
          <w:iCs/>
          <w:sz w:val="22"/>
          <w:szCs w:val="22"/>
          <w:lang w:val="nb-NO"/>
        </w:rPr>
      </w:pPr>
      <w:r>
        <w:rPr>
          <w:rFonts w:ascii="Times New Roman" w:hAnsi="Times New Roman" w:cs="Times New Roman"/>
          <w:i/>
          <w:iCs/>
          <w:noProof/>
          <w:sz w:val="22"/>
          <w:szCs w:val="22"/>
          <w:lang w:val="nb-NO" w:eastAsia="nb-NO"/>
        </w:rPr>
        <mc:AlternateContent>
          <mc:Choice Requires="wps">
            <w:drawing>
              <wp:anchor distT="0" distB="0" distL="114300" distR="114300" simplePos="0" relativeHeight="251702272" behindDoc="0" locked="0" layoutInCell="1" allowOverlap="1" wp14:anchorId="27D0CA22" wp14:editId="0FE73613">
                <wp:simplePos x="0" y="0"/>
                <wp:positionH relativeFrom="column">
                  <wp:posOffset>-9525</wp:posOffset>
                </wp:positionH>
                <wp:positionV relativeFrom="paragraph">
                  <wp:posOffset>131445</wp:posOffset>
                </wp:positionV>
                <wp:extent cx="258127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5812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32647" id="Прямая соединительная линия 2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35pt" to="2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" strokecolor="blue"/>
            </w:pict>
          </mc:Fallback>
        </mc:AlternateConten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Overgangen til en eneste styringsmodell for </w:t>
      </w:r>
    </w:p>
    <w:p w:rsidR="0016460E" w:rsidRPr="00154BF6" w:rsidRDefault="0016460E" w:rsidP="0016460E">
      <w:pPr>
        <w:jc w:val="both"/>
        <w:rPr>
          <w:rFonts w:ascii="Times New Roman" w:hAnsi="Times New Roman" w:cs="Times New Roman"/>
          <w:i/>
          <w:color w:val="0000FF"/>
          <w:sz w:val="22"/>
          <w:szCs w:val="22"/>
          <w:lang w:val="nb-NO"/>
        </w:rPr>
      </w:pPr>
      <w:r w:rsidRPr="00154BF6">
        <w:rPr>
          <w:rFonts w:ascii="Times New Roman" w:hAnsi="Times New Roman" w:cs="Times New Roman"/>
          <w:i/>
          <w:color w:val="0000FF"/>
          <w:sz w:val="22"/>
          <w:szCs w:val="22"/>
          <w:lang w:val="nb-NO"/>
        </w:rPr>
        <w:t xml:space="preserve">regional utvikling kunne hjelpe å muliggjøre </w:t>
      </w:r>
    </w:p>
    <w:p w:rsidR="0016460E" w:rsidRPr="00756E7C" w:rsidRDefault="0016460E" w:rsidP="0016460E">
      <w:pPr>
        <w:jc w:val="both"/>
        <w:rPr>
          <w:rFonts w:ascii="Times New Roman" w:hAnsi="Times New Roman" w:cs="Times New Roman"/>
          <w:i/>
          <w:sz w:val="22"/>
          <w:szCs w:val="22"/>
          <w:lang w:val="nb-NO"/>
        </w:rPr>
      </w:pPr>
      <w:r w:rsidRPr="00154BF6">
        <w:rPr>
          <w:rFonts w:ascii="Times New Roman" w:hAnsi="Times New Roman" w:cs="Times New Roman"/>
          <w:i/>
          <w:color w:val="0000FF"/>
          <w:sz w:val="22"/>
          <w:szCs w:val="22"/>
          <w:lang w:val="nb-NO"/>
        </w:rPr>
        <w:t xml:space="preserve">en mer oppadgående tilnærming </w:t>
      </w:r>
    </w:p>
    <w:p w:rsidR="009C645B" w:rsidRPr="00716331" w:rsidRDefault="00762FCB" w:rsidP="0094564B">
      <w:pPr>
        <w:shd w:val="clear" w:color="auto" w:fill="FFFFFF"/>
        <w:ind w:right="4709"/>
        <w:jc w:val="both"/>
        <w:rPr>
          <w:rFonts w:ascii="Times New Roman" w:hAnsi="Times New Roman" w:cs="Times New Roman"/>
          <w:sz w:val="22"/>
          <w:szCs w:val="22"/>
          <w:lang w:val="nb-NO"/>
        </w:rPr>
      </w:pPr>
      <w:r>
        <w:rPr>
          <w:rFonts w:ascii="Times New Roman" w:hAnsi="Times New Roman" w:cs="Times New Roman"/>
          <w:i/>
          <w:iCs/>
          <w:noProof/>
          <w:sz w:val="22"/>
          <w:szCs w:val="22"/>
          <w:lang w:val="nb-NO" w:eastAsia="nb-NO"/>
        </w:rPr>
        <mc:AlternateContent>
          <mc:Choice Requires="wps">
            <w:drawing>
              <wp:anchor distT="0" distB="0" distL="114300" distR="114300" simplePos="0" relativeHeight="251704320" behindDoc="0" locked="0" layoutInCell="1" allowOverlap="1" wp14:anchorId="30B152F1" wp14:editId="1DC7A96A">
                <wp:simplePos x="0" y="0"/>
                <wp:positionH relativeFrom="column">
                  <wp:posOffset>-28575</wp:posOffset>
                </wp:positionH>
                <wp:positionV relativeFrom="paragraph">
                  <wp:posOffset>142240</wp:posOffset>
                </wp:positionV>
                <wp:extent cx="25812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581275"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F4149" id="Прямая соединительная линия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2pt" to="2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" strokecolor="blue"/>
            </w:pict>
          </mc:Fallback>
        </mc:AlternateContent>
      </w:r>
    </w:p>
    <w:p w:rsidR="0016460E" w:rsidRPr="00716331" w:rsidRDefault="0016460E" w:rsidP="0094564B">
      <w:pPr>
        <w:shd w:val="clear" w:color="auto" w:fill="FFFFFF"/>
        <w:ind w:right="4709"/>
        <w:jc w:val="both"/>
        <w:rPr>
          <w:rFonts w:ascii="Times New Roman" w:hAnsi="Times New Roman" w:cs="Times New Roman"/>
          <w:sz w:val="22"/>
          <w:szCs w:val="22"/>
          <w:lang w:val="nb-NO"/>
        </w:rPr>
      </w:pPr>
    </w:p>
    <w:p w:rsidR="00762FCB" w:rsidRPr="00716331" w:rsidRDefault="00762FCB" w:rsidP="0094564B">
      <w:pPr>
        <w:shd w:val="clear" w:color="auto" w:fill="FFFFFF"/>
        <w:ind w:right="4709"/>
        <w:jc w:val="both"/>
        <w:rPr>
          <w:rFonts w:ascii="Times New Roman" w:hAnsi="Times New Roman" w:cs="Times New Roman"/>
          <w:sz w:val="22"/>
          <w:szCs w:val="22"/>
          <w:lang w:val="nb-NO"/>
        </w:rPr>
      </w:pPr>
    </w:p>
    <w:p w:rsidR="0016460E" w:rsidRPr="00756E7C" w:rsidRDefault="0016460E" w:rsidP="0016460E">
      <w:pPr>
        <w:ind w:firstLine="284"/>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Forbedring av styring over regional utvikling vil i noen grad adressere disse problemene. For tiden er det tre styringsmodeller for regional utvikling tvers over de fire nordlige tynt befolkede områdene i Sverige. To regioner (Norrbotten og Västernorrland) setter fremdeles sin lit til nasjonale kontorer gjennom fylkes administrasjonsråd som spiller hovedrolle i regional utvikling. Fra 1. januar 2017 skal direkte valgt fylkesråd overta i de to regionene. Region Jämtland Härjedalen og Västerbotten har henholdsvis etablert direkte og indirekte valgt organer med mandat for regional utvikling. Blant de tre tilnærmingene sørger modeller for direkte og indirekte valg for større sammenheng innen prioritetsetting i regional skala, og for mer effektiv samordning med EU, nasjonale politikker, og på kommunenivå. </w:t>
      </w:r>
    </w:p>
    <w:p w:rsidR="00762FCB" w:rsidRPr="00716331" w:rsidRDefault="00762FCB" w:rsidP="00762FCB">
      <w:pPr>
        <w:shd w:val="clear" w:color="auto" w:fill="FFFFFF"/>
        <w:ind w:right="-21" w:firstLine="284"/>
        <w:jc w:val="both"/>
        <w:rPr>
          <w:rFonts w:ascii="Times New Roman" w:hAnsi="Times New Roman" w:cs="Times New Roman"/>
          <w:sz w:val="22"/>
          <w:szCs w:val="22"/>
          <w:lang w:val="nb-NO"/>
        </w:rPr>
        <w:sectPr w:rsidR="00762FCB" w:rsidRPr="00716331">
          <w:pgSz w:w="11909" w:h="16834"/>
          <w:pgMar w:top="1440" w:right="1318" w:bottom="720" w:left="1965" w:header="720" w:footer="720" w:gutter="0"/>
          <w:cols w:space="60"/>
          <w:noEndnote/>
        </w:sectPr>
      </w:pPr>
    </w:p>
    <w:p w:rsidR="009C645B" w:rsidRPr="00716331" w:rsidRDefault="009C645B" w:rsidP="0094564B">
      <w:pPr>
        <w:shd w:val="clear" w:color="auto" w:fill="FFFFFF"/>
        <w:ind w:right="638" w:firstLine="346"/>
        <w:jc w:val="both"/>
        <w:rPr>
          <w:rFonts w:ascii="Times New Roman" w:hAnsi="Times New Roman" w:cs="Times New Roman"/>
          <w:sz w:val="22"/>
          <w:szCs w:val="22"/>
          <w:lang w:val="nb-NO"/>
        </w:rPr>
      </w:pPr>
    </w:p>
    <w:tbl>
      <w:tblPr>
        <w:tblStyle w:val="Tabellrutenett"/>
        <w:tblW w:w="0" w:type="auto"/>
        <w:tblInd w:w="-601" w:type="dxa"/>
        <w:tblLook w:val="04A0" w:firstRow="1" w:lastRow="0" w:firstColumn="1" w:lastColumn="0" w:noHBand="0" w:noVBand="1"/>
      </w:tblPr>
      <w:tblGrid>
        <w:gridCol w:w="8931"/>
      </w:tblGrid>
      <w:tr w:rsidR="00762FCB" w:rsidRPr="00B36416" w:rsidTr="00762FCB">
        <w:tc>
          <w:tcPr>
            <w:tcW w:w="8931" w:type="dxa"/>
          </w:tcPr>
          <w:p w:rsidR="00762FCB" w:rsidRPr="00716331" w:rsidRDefault="00762FCB" w:rsidP="00762FCB">
            <w:pPr>
              <w:shd w:val="clear" w:color="auto" w:fill="FFFFFF"/>
              <w:ind w:left="394" w:hanging="219"/>
              <w:rPr>
                <w:rFonts w:ascii="Times New Roman" w:hAnsi="Times New Roman" w:cs="Times New Roman"/>
                <w:sz w:val="22"/>
                <w:szCs w:val="22"/>
                <w:lang w:val="nb-NO"/>
              </w:rPr>
            </w:pPr>
          </w:p>
          <w:p w:rsidR="0016460E" w:rsidRPr="00756E7C" w:rsidRDefault="0016460E" w:rsidP="0016460E">
            <w:pPr>
              <w:jc w:val="center"/>
              <w:rPr>
                <w:rFonts w:ascii="Times New Roman" w:hAnsi="Times New Roman" w:cs="Times New Roman"/>
                <w:b/>
                <w:sz w:val="22"/>
                <w:szCs w:val="22"/>
                <w:lang w:val="nb-NO"/>
              </w:rPr>
            </w:pPr>
            <w:r w:rsidRPr="00756E7C">
              <w:rPr>
                <w:rFonts w:ascii="Times New Roman" w:hAnsi="Times New Roman" w:cs="Times New Roman"/>
                <w:b/>
                <w:sz w:val="22"/>
                <w:szCs w:val="22"/>
                <w:lang w:val="nb-NO"/>
              </w:rPr>
              <w:t>Anbefalinger på nasjonalt nivå for å støtte vekst i Nord-Sverige</w:t>
            </w:r>
          </w:p>
          <w:p w:rsidR="00762FCB" w:rsidRPr="00716331" w:rsidRDefault="00762FCB" w:rsidP="00762FCB">
            <w:pPr>
              <w:shd w:val="clear" w:color="auto" w:fill="FFFFFF"/>
              <w:ind w:left="394" w:hanging="219"/>
              <w:rPr>
                <w:rFonts w:ascii="Times New Roman" w:hAnsi="Times New Roman" w:cs="Times New Roman"/>
                <w:b/>
                <w:sz w:val="22"/>
                <w:szCs w:val="22"/>
                <w:lang w:val="nb-NO"/>
              </w:rPr>
            </w:pPr>
          </w:p>
          <w:p w:rsidR="0016460E" w:rsidRPr="00716331" w:rsidRDefault="0016460E" w:rsidP="00762FCB">
            <w:pPr>
              <w:shd w:val="clear" w:color="auto" w:fill="FFFFFF"/>
              <w:ind w:left="394" w:hanging="219"/>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1. Øke produktivitet og konkurransedyktighet av nordområdene ved å: </w:t>
            </w:r>
          </w:p>
          <w:p w:rsidR="00762FCB" w:rsidRPr="00716331" w:rsidRDefault="00762FCB" w:rsidP="00E94715">
            <w:pPr>
              <w:shd w:val="clear" w:color="auto" w:fill="FFFFFF"/>
              <w:ind w:left="394" w:right="34" w:hanging="219"/>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a. støtte disse regionene for å legge til rette </w:t>
            </w:r>
            <w:r w:rsidR="006D6B27">
              <w:rPr>
                <w:rFonts w:ascii="Times New Roman" w:hAnsi="Times New Roman" w:cs="Times New Roman"/>
                <w:sz w:val="22"/>
                <w:szCs w:val="22"/>
                <w:lang w:val="nb-NO"/>
              </w:rPr>
              <w:t xml:space="preserve">for </w:t>
            </w:r>
            <w:r w:rsidRPr="00756E7C">
              <w:rPr>
                <w:rFonts w:ascii="Times New Roman" w:hAnsi="Times New Roman" w:cs="Times New Roman"/>
                <w:sz w:val="22"/>
                <w:szCs w:val="22"/>
                <w:lang w:val="nb-NO"/>
              </w:rPr>
              <w:t>nye økonomiske muligheter ved å knytte smarte spesialiseringsstrategier til områder med absolutte fortrinn (inkludert nisjeproduksjon og tjenester forbundet med ressursutvinning, energiproduksjon, og skogbruk, og innflytelse på arktisk klima og ekspertise)</w:t>
            </w:r>
          </w:p>
          <w:p w:rsidR="0016460E" w:rsidRPr="006D6B27" w:rsidRDefault="0016460E" w:rsidP="00E94715">
            <w:pPr>
              <w:ind w:left="394" w:right="34" w:hanging="219"/>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 xml:space="preserve">b. legge til rette for adgang for små og mellomstore bedrifter relatert til disse kjerneområdene med absolutte fortrinn for å bygge i stor stil og gi dem muligheter for adgang til utenriksmarkeder, og FoU- og innovasjonsmuligheter (særlig spesialiserte tjenester relatert til primærsektor og helseteknologier) </w:t>
            </w:r>
          </w:p>
          <w:p w:rsidR="0016460E" w:rsidRPr="00716331" w:rsidRDefault="0016460E" w:rsidP="00E94715">
            <w:pPr>
              <w:shd w:val="clear" w:color="auto" w:fill="FFFFFF"/>
              <w:tabs>
                <w:tab w:val="left" w:pos="734"/>
              </w:tabs>
              <w:ind w:left="394" w:right="34" w:hanging="219"/>
              <w:jc w:val="both"/>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c. sørge for at den nasjonale reiselivsstrategien inkluderer tydelige tiltak for å forbinde bedre og samordne gjeldende innsats innen markedsførings- og destinasjonsledelse på tvers av de nordlige områdene (for eksempel bedre koplende innsats langs Bottenvikens kyst), og legge til rette for medvirkende tilnærming i regioner som har supplerende aktiva i Norge og Finland</w:t>
            </w:r>
          </w:p>
          <w:p w:rsidR="0016460E" w:rsidRPr="00716331" w:rsidRDefault="0016460E" w:rsidP="00E94715">
            <w:pPr>
              <w:shd w:val="clear" w:color="auto" w:fill="FFFFFF"/>
              <w:tabs>
                <w:tab w:val="left" w:pos="734"/>
              </w:tabs>
              <w:ind w:left="394" w:right="34" w:hanging="219"/>
              <w:jc w:val="both"/>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d. øke omfang av Regionale kompetanseplattformer for å tilpasse yrkesopplæring og utdannings-  og sysselsettingstjenester innenfor sin region (blant annet i lokale arbeidsmarkeders målestokk)</w:t>
            </w:r>
            <w:r>
              <w:rPr>
                <w:rFonts w:ascii="Times New Roman" w:hAnsi="Times New Roman" w:cs="Times New Roman"/>
                <w:sz w:val="22"/>
                <w:szCs w:val="22"/>
                <w:lang w:val="nb-NO"/>
              </w:rPr>
              <w:t>.</w:t>
            </w:r>
          </w:p>
          <w:p w:rsidR="0016460E" w:rsidRPr="0016460E" w:rsidRDefault="0016460E" w:rsidP="00E94715">
            <w:pPr>
              <w:shd w:val="clear" w:color="auto" w:fill="FFFFFF"/>
              <w:ind w:left="394" w:right="34" w:hanging="219"/>
              <w:rPr>
                <w:rFonts w:ascii="Times New Roman" w:hAnsi="Times New Roman" w:cs="Times New Roman"/>
                <w:sz w:val="22"/>
                <w:szCs w:val="22"/>
                <w:lang w:val="nb-NO"/>
              </w:rPr>
            </w:pPr>
          </w:p>
          <w:p w:rsidR="0016460E" w:rsidRPr="00756E7C" w:rsidRDefault="0016460E" w:rsidP="0016460E">
            <w:pPr>
              <w:jc w:val="both"/>
              <w:rPr>
                <w:rFonts w:ascii="Times New Roman" w:hAnsi="Times New Roman" w:cs="Times New Roman"/>
                <w:sz w:val="22"/>
                <w:szCs w:val="22"/>
                <w:lang w:val="nb-NO"/>
              </w:rPr>
            </w:pPr>
            <w:r w:rsidRPr="00756E7C">
              <w:rPr>
                <w:rFonts w:ascii="Times New Roman" w:hAnsi="Times New Roman" w:cs="Times New Roman"/>
                <w:sz w:val="22"/>
                <w:szCs w:val="22"/>
                <w:lang w:val="nb-NO"/>
              </w:rPr>
              <w:t>2. Forbedre sammenheng og tilgang til tjenester ved å:</w:t>
            </w:r>
          </w:p>
          <w:p w:rsidR="0016460E" w:rsidRPr="00716331" w:rsidRDefault="0016460E" w:rsidP="00E94715">
            <w:pPr>
              <w:shd w:val="clear" w:color="auto" w:fill="FFFFFF"/>
              <w:tabs>
                <w:tab w:val="left" w:pos="734"/>
              </w:tabs>
              <w:ind w:left="394" w:right="34" w:hanging="219"/>
              <w:jc w:val="both"/>
              <w:rPr>
                <w:rFonts w:ascii="Times New Roman" w:hAnsi="Times New Roman" w:cs="Times New Roman"/>
                <w:i/>
                <w:iCs/>
                <w:sz w:val="22"/>
                <w:szCs w:val="22"/>
                <w:lang w:val="nb-NO"/>
              </w:rPr>
            </w:pPr>
          </w:p>
          <w:p w:rsidR="00D62B93" w:rsidRPr="00A95939"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a. sørge for bedre tilskyndelser og støtte til nordlige regioner for å utvikle initiativer til e-tjenester for distriktssamfunn, og utveksle slike gode erfaringer som yting av e-helsetjenester i Västerbotten-regionen</w:t>
            </w:r>
          </w:p>
          <w:p w:rsidR="00D62B93" w:rsidRPr="00716331" w:rsidRDefault="00D62B93" w:rsidP="00E94715">
            <w:pPr>
              <w:shd w:val="clear" w:color="auto" w:fill="FFFFFF"/>
              <w:tabs>
                <w:tab w:val="left" w:pos="734"/>
              </w:tabs>
              <w:ind w:left="394" w:right="34" w:hanging="219"/>
              <w:jc w:val="both"/>
              <w:rPr>
                <w:rFonts w:ascii="Times New Roman" w:hAnsi="Times New Roman" w:cs="Times New Roman"/>
                <w:sz w:val="22"/>
                <w:szCs w:val="22"/>
                <w:lang w:val="nb-NO"/>
              </w:rPr>
            </w:pPr>
          </w:p>
          <w:p w:rsidR="00D62B93" w:rsidRPr="00A95939"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 xml:space="preserve">b. redusere barrierer og hindre for innovasjon innen tjenesteyting i distriktssamfunn, blant annet ressursdeling og deltakelse av frivillige organisasjoner i utforming og styring over tjenester (for eksempel mer fleksibilitet i hvordan skoler kan utveksle undervisningspersonale og andre ressurser). </w:t>
            </w:r>
          </w:p>
          <w:p w:rsidR="00D62B93" w:rsidRPr="00716331" w:rsidRDefault="00D62B93" w:rsidP="00E94715">
            <w:pPr>
              <w:shd w:val="clear" w:color="auto" w:fill="FFFFFF"/>
              <w:ind w:left="394" w:right="34" w:hanging="219"/>
              <w:rPr>
                <w:rFonts w:ascii="Times New Roman" w:hAnsi="Times New Roman" w:cs="Times New Roman"/>
                <w:sz w:val="22"/>
                <w:szCs w:val="22"/>
                <w:lang w:val="nb-NO"/>
              </w:rPr>
            </w:pPr>
          </w:p>
          <w:p w:rsidR="00D62B93" w:rsidRPr="00A95939"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3. Forbedre styring over regional utvikling i nordområene ved å:</w:t>
            </w:r>
          </w:p>
          <w:p w:rsidR="00762FCB" w:rsidRPr="00716331" w:rsidRDefault="00762FCB" w:rsidP="00E94715">
            <w:pPr>
              <w:shd w:val="clear" w:color="auto" w:fill="FFFFFF"/>
              <w:ind w:left="394" w:right="34" w:hanging="219"/>
              <w:rPr>
                <w:rFonts w:ascii="Times New Roman" w:hAnsi="Times New Roman" w:cs="Times New Roman"/>
                <w:sz w:val="22"/>
                <w:szCs w:val="22"/>
                <w:lang w:val="nb-NO"/>
              </w:rPr>
            </w:pPr>
          </w:p>
          <w:p w:rsidR="00D62B93"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 xml:space="preserve">a. øke fylkesråds rolle i prioritetsetting og prosjektsamordning under De europeiske struktur- og investreingsfond (ESIF) </w:t>
            </w:r>
          </w:p>
          <w:p w:rsidR="00D62B93" w:rsidRPr="00A95939" w:rsidRDefault="00D62B93" w:rsidP="00D62B93">
            <w:pPr>
              <w:jc w:val="both"/>
              <w:rPr>
                <w:rFonts w:ascii="Times New Roman" w:hAnsi="Times New Roman" w:cs="Times New Roman"/>
                <w:sz w:val="22"/>
                <w:szCs w:val="22"/>
                <w:lang w:val="nb-NO"/>
              </w:rPr>
            </w:pPr>
          </w:p>
          <w:p w:rsidR="00D62B93"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 xml:space="preserve">b. forbedre justering av offentlige kontorers administrative grenser på regionalt nivå for å sørge for en bedre plattform for koordinering mellom styringsnivåer </w:t>
            </w:r>
          </w:p>
          <w:p w:rsidR="00D62B93" w:rsidRPr="00A95939" w:rsidRDefault="00D62B93" w:rsidP="00D62B93">
            <w:pPr>
              <w:jc w:val="both"/>
              <w:rPr>
                <w:rFonts w:ascii="Times New Roman" w:hAnsi="Times New Roman" w:cs="Times New Roman"/>
                <w:sz w:val="22"/>
                <w:szCs w:val="22"/>
                <w:lang w:val="nb-NO"/>
              </w:rPr>
            </w:pPr>
          </w:p>
          <w:p w:rsidR="00D62B93"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c. sørge for at forslag om regionale og kommunale sammenslutninger vurderer grundig omkostninger og fordeler ved disse endringene for samfunn i lavtetthets-/tynt befolkede områder</w:t>
            </w:r>
          </w:p>
          <w:p w:rsidR="00D62B93" w:rsidRPr="00A95939" w:rsidRDefault="00D62B93" w:rsidP="00D62B93">
            <w:pPr>
              <w:jc w:val="both"/>
              <w:rPr>
                <w:rFonts w:ascii="Times New Roman" w:hAnsi="Times New Roman" w:cs="Times New Roman"/>
                <w:sz w:val="22"/>
                <w:szCs w:val="22"/>
                <w:lang w:val="nb-NO"/>
              </w:rPr>
            </w:pPr>
          </w:p>
          <w:p w:rsidR="00D62B93"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d. allokere ekspertise innen rom- og transportplanlegging og samordning til organ som har ansvar for regional utvikling i regionen, og sørge for at disse regionale romplanene er integrert med planlegging av regional transport- og kommunikasjonsinfrastruktur (ved å hjelpe dermed å legge til rette for by-distriktsforbindelser og komplementaritet innen jordas utnyttelse og infrastruktur mellom forskjellige distriktskommuner)</w:t>
            </w:r>
          </w:p>
          <w:p w:rsidR="00D62B93" w:rsidRPr="00A95939" w:rsidRDefault="00D62B93" w:rsidP="00D62B93">
            <w:pPr>
              <w:jc w:val="both"/>
              <w:rPr>
                <w:rFonts w:ascii="Times New Roman" w:hAnsi="Times New Roman" w:cs="Times New Roman"/>
                <w:sz w:val="22"/>
                <w:szCs w:val="22"/>
                <w:lang w:val="nb-NO"/>
              </w:rPr>
            </w:pPr>
          </w:p>
          <w:p w:rsidR="00762FCB" w:rsidRPr="00D62B93" w:rsidRDefault="00D62B93" w:rsidP="00D62B93">
            <w:pPr>
              <w:jc w:val="both"/>
              <w:rPr>
                <w:rFonts w:ascii="Times New Roman" w:hAnsi="Times New Roman" w:cs="Times New Roman"/>
                <w:sz w:val="22"/>
                <w:szCs w:val="22"/>
                <w:lang w:val="nb-NO"/>
              </w:rPr>
            </w:pPr>
            <w:r w:rsidRPr="00A95939">
              <w:rPr>
                <w:rFonts w:ascii="Times New Roman" w:hAnsi="Times New Roman" w:cs="Times New Roman"/>
                <w:sz w:val="22"/>
                <w:szCs w:val="22"/>
                <w:lang w:val="nb-NO"/>
              </w:rPr>
              <w:t xml:space="preserve">e. sørge for at det aktuelle organet på regionalt nivå med kompetanse innen regional utvikling har hovedrolle i utvikling av Nasjonal transportplan sammen med fylkes forvaltningsråd. </w:t>
            </w:r>
          </w:p>
        </w:tc>
      </w:tr>
    </w:tbl>
    <w:p w:rsidR="00762FCB" w:rsidRPr="00D62B93" w:rsidRDefault="00762FCB" w:rsidP="0094564B">
      <w:pPr>
        <w:shd w:val="clear" w:color="auto" w:fill="FFFFFF"/>
        <w:ind w:left="394"/>
        <w:rPr>
          <w:rFonts w:ascii="Times New Roman" w:hAnsi="Times New Roman" w:cs="Times New Roman"/>
          <w:sz w:val="22"/>
          <w:szCs w:val="22"/>
          <w:lang w:val="nb-NO"/>
        </w:rPr>
      </w:pPr>
    </w:p>
    <w:sectPr w:rsidR="00762FCB" w:rsidRPr="00D62B93" w:rsidSect="008368FE">
      <w:pgSz w:w="11909" w:h="16834"/>
      <w:pgMar w:top="1440" w:right="1237" w:bottom="720" w:left="25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78" w:rsidRDefault="00CF5778" w:rsidP="006F31EE">
      <w:r>
        <w:separator/>
      </w:r>
    </w:p>
  </w:endnote>
  <w:endnote w:type="continuationSeparator" w:id="0">
    <w:p w:rsidR="00CF5778" w:rsidRDefault="00CF5778" w:rsidP="006F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03617"/>
      <w:docPartObj>
        <w:docPartGallery w:val="Page Numbers (Bottom of Page)"/>
        <w:docPartUnique/>
      </w:docPartObj>
    </w:sdtPr>
    <w:sdtEndPr>
      <w:rPr>
        <w:rFonts w:ascii="Times New Roman" w:hAnsi="Times New Roman"/>
      </w:rPr>
    </w:sdtEndPr>
    <w:sdtContent>
      <w:p w:rsidR="00AE1492" w:rsidRPr="007E3BF7" w:rsidRDefault="00AE1492">
        <w:pPr>
          <w:pStyle w:val="Bunntekst"/>
          <w:jc w:val="center"/>
          <w:rPr>
            <w:rFonts w:ascii="Times New Roman" w:hAnsi="Times New Roman"/>
          </w:rPr>
        </w:pPr>
        <w:r w:rsidRPr="007E3BF7">
          <w:rPr>
            <w:rFonts w:ascii="Times New Roman" w:hAnsi="Times New Roman"/>
          </w:rPr>
          <w:fldChar w:fldCharType="begin"/>
        </w:r>
        <w:r w:rsidRPr="007E3BF7">
          <w:rPr>
            <w:rFonts w:ascii="Times New Roman" w:hAnsi="Times New Roman"/>
          </w:rPr>
          <w:instrText>PAGE   \* MERGEFORMAT</w:instrText>
        </w:r>
        <w:r w:rsidRPr="007E3BF7">
          <w:rPr>
            <w:rFonts w:ascii="Times New Roman" w:hAnsi="Times New Roman"/>
          </w:rPr>
          <w:fldChar w:fldCharType="separate"/>
        </w:r>
        <w:r w:rsidR="00471279">
          <w:rPr>
            <w:rFonts w:ascii="Times New Roman" w:hAnsi="Times New Roman"/>
            <w:noProof/>
          </w:rPr>
          <w:t>20</w:t>
        </w:r>
        <w:r w:rsidRPr="007E3BF7">
          <w:rPr>
            <w:rFonts w:ascii="Times New Roman" w:hAnsi="Times New Roman"/>
          </w:rPr>
          <w:fldChar w:fldCharType="end"/>
        </w:r>
      </w:p>
    </w:sdtContent>
  </w:sdt>
  <w:p w:rsidR="00AE1492" w:rsidRDefault="00AE14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78" w:rsidRDefault="00CF5778" w:rsidP="006F31EE">
      <w:r>
        <w:separator/>
      </w:r>
    </w:p>
  </w:footnote>
  <w:footnote w:type="continuationSeparator" w:id="0">
    <w:p w:rsidR="00CF5778" w:rsidRDefault="00CF5778" w:rsidP="006F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93" w:rsidRDefault="00D62B93" w:rsidP="006F31EE">
    <w:pPr>
      <w:pBdr>
        <w:bottom w:val="single" w:sz="18" w:space="1" w:color="auto"/>
      </w:pBdr>
      <w:shd w:val="clear" w:color="auto" w:fill="FFFFFF"/>
      <w:jc w:val="right"/>
      <w:rPr>
        <w:rFonts w:ascii="Times New Roman" w:hAnsi="Times New Roman" w:cs="Times New Roman"/>
        <w:b/>
        <w:bCs/>
        <w:spacing w:val="-6"/>
        <w:sz w:val="14"/>
        <w:szCs w:val="14"/>
        <w:lang w:val="en-US"/>
      </w:rPr>
    </w:pPr>
    <w:r>
      <w:rPr>
        <w:rFonts w:ascii="Times New Roman" w:hAnsi="Times New Roman" w:cs="Times New Roman"/>
        <w:b/>
        <w:bCs/>
        <w:spacing w:val="-6"/>
        <w:sz w:val="14"/>
        <w:szCs w:val="14"/>
        <w:lang w:val="en-US"/>
      </w:rPr>
      <w:t>EVALUERING OG ANBEFALINGER</w:t>
    </w:r>
  </w:p>
  <w:p w:rsidR="00AE1492" w:rsidRPr="004E4E0D" w:rsidRDefault="00AE1492" w:rsidP="006F31EE">
    <w:pPr>
      <w:pBdr>
        <w:bottom w:val="single" w:sz="18" w:space="1" w:color="auto"/>
      </w:pBdr>
      <w:shd w:val="clear" w:color="auto" w:fill="FFFFFF"/>
      <w:jc w:val="right"/>
      <w:rPr>
        <w:lang w:val="en-US"/>
      </w:rPr>
    </w:pPr>
    <w:r>
      <w:rPr>
        <w:rFonts w:ascii="Times New Roman" w:hAnsi="Times New Roman" w:cs="Times New Roman"/>
        <w:b/>
        <w:bCs/>
        <w:spacing w:val="-6"/>
        <w:sz w:val="14"/>
        <w:szCs w:val="1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262"/>
    <w:multiLevelType w:val="singleLevel"/>
    <w:tmpl w:val="810E93D8"/>
    <w:lvl w:ilvl="0">
      <w:start w:val="3"/>
      <w:numFmt w:val="decimal"/>
      <w:lvlText w:val="%1."/>
      <w:legacy w:legacy="1" w:legacySpace="0" w:legacyIndent="37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0D"/>
    <w:rsid w:val="000F19CD"/>
    <w:rsid w:val="00154BF6"/>
    <w:rsid w:val="00162CFA"/>
    <w:rsid w:val="0016460E"/>
    <w:rsid w:val="00286140"/>
    <w:rsid w:val="003C7C69"/>
    <w:rsid w:val="004340AC"/>
    <w:rsid w:val="00464628"/>
    <w:rsid w:val="00471279"/>
    <w:rsid w:val="004E24B0"/>
    <w:rsid w:val="004E4E0D"/>
    <w:rsid w:val="00530532"/>
    <w:rsid w:val="00531F9A"/>
    <w:rsid w:val="00551BAB"/>
    <w:rsid w:val="00614B7A"/>
    <w:rsid w:val="006303C0"/>
    <w:rsid w:val="006D2B3B"/>
    <w:rsid w:val="006D6B27"/>
    <w:rsid w:val="006F31EE"/>
    <w:rsid w:val="00716331"/>
    <w:rsid w:val="00734EB6"/>
    <w:rsid w:val="00762FCB"/>
    <w:rsid w:val="007E3BF7"/>
    <w:rsid w:val="008368FE"/>
    <w:rsid w:val="00895BE5"/>
    <w:rsid w:val="008A6BBF"/>
    <w:rsid w:val="0094564B"/>
    <w:rsid w:val="00995AB0"/>
    <w:rsid w:val="009C645B"/>
    <w:rsid w:val="00A54812"/>
    <w:rsid w:val="00AE1492"/>
    <w:rsid w:val="00B36416"/>
    <w:rsid w:val="00C2430D"/>
    <w:rsid w:val="00CD5FDF"/>
    <w:rsid w:val="00CE3E66"/>
    <w:rsid w:val="00CF5778"/>
    <w:rsid w:val="00D408AF"/>
    <w:rsid w:val="00D62B93"/>
    <w:rsid w:val="00D705BB"/>
    <w:rsid w:val="00D8108B"/>
    <w:rsid w:val="00DF3849"/>
    <w:rsid w:val="00E4117C"/>
    <w:rsid w:val="00E94715"/>
    <w:rsid w:val="00E97723"/>
    <w:rsid w:val="00F93C78"/>
    <w:rsid w:val="00FD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E2243348-545B-4C1E-8334-5191009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F31EE"/>
    <w:pPr>
      <w:tabs>
        <w:tab w:val="center" w:pos="4677"/>
        <w:tab w:val="right" w:pos="9355"/>
      </w:tabs>
    </w:pPr>
  </w:style>
  <w:style w:type="character" w:customStyle="1" w:styleId="TopptekstTegn">
    <w:name w:val="Topptekst Tegn"/>
    <w:basedOn w:val="Standardskriftforavsnitt"/>
    <w:link w:val="Topptekst"/>
    <w:uiPriority w:val="99"/>
    <w:rsid w:val="006F31EE"/>
    <w:rPr>
      <w:rFonts w:ascii="Arial" w:hAnsi="Arial" w:cs="Arial"/>
      <w:sz w:val="20"/>
      <w:szCs w:val="20"/>
    </w:rPr>
  </w:style>
  <w:style w:type="paragraph" w:styleId="Bunntekst">
    <w:name w:val="footer"/>
    <w:basedOn w:val="Normal"/>
    <w:link w:val="BunntekstTegn"/>
    <w:uiPriority w:val="99"/>
    <w:unhideWhenUsed/>
    <w:rsid w:val="006F31EE"/>
    <w:pPr>
      <w:tabs>
        <w:tab w:val="center" w:pos="4677"/>
        <w:tab w:val="right" w:pos="9355"/>
      </w:tabs>
    </w:pPr>
  </w:style>
  <w:style w:type="character" w:customStyle="1" w:styleId="BunntekstTegn">
    <w:name w:val="Bunntekst Tegn"/>
    <w:basedOn w:val="Standardskriftforavsnitt"/>
    <w:link w:val="Bunntekst"/>
    <w:uiPriority w:val="99"/>
    <w:rsid w:val="006F31EE"/>
    <w:rPr>
      <w:rFonts w:ascii="Arial" w:hAnsi="Arial" w:cs="Arial"/>
      <w:sz w:val="20"/>
      <w:szCs w:val="20"/>
    </w:rPr>
  </w:style>
  <w:style w:type="table" w:styleId="Tabellrutenett">
    <w:name w:val="Table Grid"/>
    <w:basedOn w:val="Vanligtabell"/>
    <w:uiPriority w:val="59"/>
    <w:rsid w:val="007E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6724</Words>
  <Characters>35642</Characters>
  <Application>Microsoft Office Word</Application>
  <DocSecurity>4</DocSecurity>
  <Lines>297</Lines>
  <Paragraphs>84</Paragraphs>
  <ScaleCrop>false</ScaleCrop>
  <HeadingPairs>
    <vt:vector size="4" baseType="variant">
      <vt:variant>
        <vt:lpstr>Tittel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Marthe Kristin Svensson</cp:lastModifiedBy>
  <cp:revision>2</cp:revision>
  <dcterms:created xsi:type="dcterms:W3CDTF">2017-09-18T08:59:00Z</dcterms:created>
  <dcterms:modified xsi:type="dcterms:W3CDTF">2017-09-18T08:59:00Z</dcterms:modified>
</cp:coreProperties>
</file>