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02" w:rsidRDefault="00EE5C02" w:rsidP="00BB5C54">
      <w:pPr>
        <w:jc w:val="center"/>
        <w:rPr>
          <w:rFonts w:ascii="Times New Roman" w:hAnsi="Times New Roman" w:cs="Times New Roman"/>
          <w:sz w:val="28"/>
          <w:szCs w:val="28"/>
          <w:lang w:val="nb-NO"/>
        </w:rPr>
      </w:pPr>
      <w:bookmarkStart w:id="0" w:name="_GoBack"/>
      <w:bookmarkEnd w:id="0"/>
    </w:p>
    <w:p w:rsidR="00BB5C54" w:rsidRPr="0025555F" w:rsidRDefault="00BB5C54" w:rsidP="00BB5C54">
      <w:pPr>
        <w:jc w:val="center"/>
        <w:rPr>
          <w:rFonts w:ascii="Times New Roman" w:hAnsi="Times New Roman" w:cs="Times New Roman"/>
          <w:color w:val="365F91" w:themeColor="accent1" w:themeShade="BF"/>
          <w:sz w:val="32"/>
          <w:szCs w:val="24"/>
          <w:lang w:val="nb-NO"/>
        </w:rPr>
      </w:pPr>
      <w:r w:rsidRPr="0025555F">
        <w:rPr>
          <w:rFonts w:ascii="Times New Roman" w:hAnsi="Times New Roman" w:cs="Times New Roman"/>
          <w:color w:val="365F91" w:themeColor="accent1" w:themeShade="BF"/>
          <w:sz w:val="32"/>
          <w:szCs w:val="24"/>
          <w:lang w:val="nb-NO"/>
        </w:rPr>
        <w:t>Sammendrag</w:t>
      </w:r>
    </w:p>
    <w:p w:rsidR="004966CB" w:rsidRPr="0025555F" w:rsidRDefault="00D83A64" w:rsidP="005037E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25555F">
        <w:rPr>
          <w:rFonts w:ascii="Times New Roman" w:hAnsi="Times New Roman" w:cs="Times New Roman"/>
          <w:color w:val="2B2C2C"/>
          <w:sz w:val="24"/>
          <w:szCs w:val="24"/>
          <w:shd w:val="clear" w:color="auto" w:fill="FFFFFF"/>
          <w:lang w:val="nb-NO"/>
        </w:rPr>
        <w:t>De nordlige og spredt befolkede regionene</w:t>
      </w:r>
      <w:r w:rsidR="004966CB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923F91" w:rsidRPr="0025555F">
        <w:rPr>
          <w:rFonts w:ascii="Times New Roman" w:hAnsi="Times New Roman" w:cs="Times New Roman"/>
          <w:sz w:val="24"/>
          <w:szCs w:val="24"/>
          <w:lang w:val="nb-NO"/>
        </w:rPr>
        <w:t>(</w:t>
      </w:r>
      <w:r w:rsidR="005F4DE5">
        <w:rPr>
          <w:rFonts w:ascii="Times New Roman" w:hAnsi="Times New Roman" w:cs="Times New Roman"/>
          <w:sz w:val="24"/>
          <w:szCs w:val="24"/>
          <w:lang w:val="nb-NO"/>
        </w:rPr>
        <w:t>NSPA</w:t>
      </w:r>
      <w:r w:rsidR="00923F91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) </w:t>
      </w:r>
      <w:r w:rsidR="004966CB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i Finland, Norge og Sverige </w:t>
      </w:r>
      <w:r w:rsidR="00923F91" w:rsidRPr="0025555F">
        <w:rPr>
          <w:rFonts w:ascii="Times New Roman" w:hAnsi="Times New Roman" w:cs="Times New Roman"/>
          <w:color w:val="2B2C2C"/>
          <w:sz w:val="24"/>
          <w:szCs w:val="24"/>
          <w:shd w:val="clear" w:color="auto" w:fill="FFFFFF"/>
          <w:lang w:val="nb-NO"/>
        </w:rPr>
        <w:t>får stadig økt betydning i de geopolitis</w:t>
      </w:r>
      <w:r w:rsidR="00A631B5">
        <w:rPr>
          <w:rFonts w:ascii="Times New Roman" w:hAnsi="Times New Roman" w:cs="Times New Roman"/>
          <w:color w:val="2B2C2C"/>
          <w:sz w:val="24"/>
          <w:szCs w:val="24"/>
          <w:shd w:val="clear" w:color="auto" w:fill="FFFFFF"/>
          <w:lang w:val="nb-NO"/>
        </w:rPr>
        <w:t xml:space="preserve">ke og økonomiske interesser nasjonalt og </w:t>
      </w:r>
      <w:proofErr w:type="gramStart"/>
      <w:r w:rsidR="00A631B5">
        <w:rPr>
          <w:rFonts w:ascii="Times New Roman" w:hAnsi="Times New Roman" w:cs="Times New Roman"/>
          <w:color w:val="2B2C2C"/>
          <w:sz w:val="24"/>
          <w:szCs w:val="24"/>
          <w:shd w:val="clear" w:color="auto" w:fill="FFFFFF"/>
          <w:lang w:val="nb-NO"/>
        </w:rPr>
        <w:t xml:space="preserve">i </w:t>
      </w:r>
      <w:r w:rsidR="00AF15B5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FB5D3D">
        <w:rPr>
          <w:rFonts w:ascii="Times New Roman" w:hAnsi="Times New Roman" w:cs="Times New Roman"/>
          <w:sz w:val="24"/>
          <w:szCs w:val="24"/>
          <w:lang w:val="nb-NO"/>
        </w:rPr>
        <w:t>EU</w:t>
      </w:r>
      <w:proofErr w:type="gramEnd"/>
      <w:r w:rsidR="00AF15B5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proofErr w:type="spellStart"/>
      <w:r w:rsidR="005F4DE5">
        <w:rPr>
          <w:rFonts w:ascii="Times New Roman" w:hAnsi="Times New Roman" w:cs="Times New Roman"/>
          <w:sz w:val="24"/>
          <w:szCs w:val="24"/>
          <w:lang w:val="nb-NO"/>
        </w:rPr>
        <w:t>NSPA</w:t>
      </w:r>
      <w:r w:rsidR="00A631B5">
        <w:rPr>
          <w:rFonts w:ascii="Times New Roman" w:hAnsi="Times New Roman" w:cs="Times New Roman"/>
          <w:sz w:val="24"/>
          <w:szCs w:val="24"/>
          <w:lang w:val="nb-NO"/>
        </w:rPr>
        <w:t>s</w:t>
      </w:r>
      <w:proofErr w:type="spellEnd"/>
      <w:r w:rsidR="00A631B5">
        <w:rPr>
          <w:rFonts w:ascii="Times New Roman" w:hAnsi="Times New Roman" w:cs="Times New Roman"/>
          <w:sz w:val="24"/>
          <w:szCs w:val="24"/>
          <w:lang w:val="nb-NO"/>
        </w:rPr>
        <w:t xml:space="preserve"> fylker</w:t>
      </w:r>
      <w:r w:rsidR="00AF15B5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ligger i </w:t>
      </w:r>
      <w:r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Europas periferi </w:t>
      </w:r>
      <w:r w:rsidR="00AF15B5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og er en del av </w:t>
      </w:r>
      <w:r w:rsidRPr="0025555F">
        <w:rPr>
          <w:rFonts w:ascii="Times New Roman" w:hAnsi="Times New Roman" w:cs="Times New Roman"/>
          <w:sz w:val="24"/>
          <w:szCs w:val="24"/>
          <w:lang w:val="nb-NO"/>
        </w:rPr>
        <w:t>Europas</w:t>
      </w:r>
      <w:r w:rsidR="00AF15B5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6D1C7E">
        <w:rPr>
          <w:rFonts w:ascii="Times New Roman" w:hAnsi="Times New Roman" w:cs="Times New Roman"/>
          <w:sz w:val="24"/>
          <w:szCs w:val="24"/>
          <w:lang w:val="nb-NO"/>
        </w:rPr>
        <w:t>dør</w:t>
      </w:r>
      <w:r w:rsidR="00C90A88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til Arktis og</w:t>
      </w:r>
      <w:r w:rsidR="006D1C7E">
        <w:rPr>
          <w:rFonts w:ascii="Times New Roman" w:hAnsi="Times New Roman" w:cs="Times New Roman"/>
          <w:sz w:val="24"/>
          <w:szCs w:val="24"/>
          <w:lang w:val="nb-NO"/>
        </w:rPr>
        <w:t xml:space="preserve"> i</w:t>
      </w:r>
      <w:r w:rsidR="00C90A88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923F91" w:rsidRPr="0025555F">
        <w:rPr>
          <w:rFonts w:ascii="Times New Roman" w:hAnsi="Times New Roman" w:cs="Times New Roman"/>
          <w:sz w:val="24"/>
          <w:szCs w:val="24"/>
          <w:lang w:val="nb-NO"/>
        </w:rPr>
        <w:t>ø</w:t>
      </w:r>
      <w:r w:rsidR="006D1C7E">
        <w:rPr>
          <w:rFonts w:ascii="Times New Roman" w:hAnsi="Times New Roman" w:cs="Times New Roman"/>
          <w:sz w:val="24"/>
          <w:szCs w:val="24"/>
          <w:lang w:val="nb-NO"/>
        </w:rPr>
        <w:t>st til d</w:t>
      </w:r>
      <w:r w:rsidR="00C90A88" w:rsidRPr="0025555F">
        <w:rPr>
          <w:rFonts w:ascii="Times New Roman" w:hAnsi="Times New Roman" w:cs="Times New Roman"/>
          <w:sz w:val="24"/>
          <w:szCs w:val="24"/>
          <w:lang w:val="nb-NO"/>
        </w:rPr>
        <w:t>en russiske føderasjon</w:t>
      </w:r>
      <w:r w:rsidR="006D1C7E">
        <w:rPr>
          <w:rFonts w:ascii="Times New Roman" w:hAnsi="Times New Roman" w:cs="Times New Roman"/>
          <w:sz w:val="24"/>
          <w:szCs w:val="24"/>
          <w:lang w:val="nb-NO"/>
        </w:rPr>
        <w:t>en</w:t>
      </w:r>
      <w:r w:rsidR="00C90A88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(videre Russland). Klimaendringer, tilgang til hydrokarbon</w:t>
      </w:r>
      <w:r w:rsidR="006D1C7E">
        <w:rPr>
          <w:rFonts w:ascii="Times New Roman" w:hAnsi="Times New Roman" w:cs="Times New Roman"/>
          <w:sz w:val="24"/>
          <w:szCs w:val="24"/>
          <w:lang w:val="nb-NO"/>
        </w:rPr>
        <w:t>er</w:t>
      </w:r>
      <w:r w:rsidR="00C90A88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og mineral</w:t>
      </w:r>
      <w:r w:rsidR="00923F91" w:rsidRPr="0025555F">
        <w:rPr>
          <w:rFonts w:ascii="Times New Roman" w:hAnsi="Times New Roman" w:cs="Times New Roman"/>
          <w:sz w:val="24"/>
          <w:szCs w:val="24"/>
          <w:lang w:val="nb-NO"/>
        </w:rPr>
        <w:t>ressurser</w:t>
      </w:r>
      <w:r w:rsidR="00C90A88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og </w:t>
      </w:r>
      <w:r w:rsidR="00923F91" w:rsidRPr="0025555F">
        <w:rPr>
          <w:rFonts w:ascii="Times New Roman" w:hAnsi="Times New Roman" w:cs="Times New Roman"/>
          <w:sz w:val="24"/>
          <w:szCs w:val="24"/>
          <w:lang w:val="nb-NO"/>
        </w:rPr>
        <w:t>endringer</w:t>
      </w:r>
      <w:r w:rsidR="00C90A88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i forhold</w:t>
      </w:r>
      <w:r w:rsidR="00923F91" w:rsidRPr="0025555F">
        <w:rPr>
          <w:rFonts w:ascii="Times New Roman" w:hAnsi="Times New Roman" w:cs="Times New Roman"/>
          <w:sz w:val="24"/>
          <w:szCs w:val="24"/>
          <w:lang w:val="nb-NO"/>
        </w:rPr>
        <w:t>et</w:t>
      </w:r>
      <w:r w:rsidR="00C90A88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923F91" w:rsidRPr="0025555F">
        <w:rPr>
          <w:rFonts w:ascii="Times New Roman" w:hAnsi="Times New Roman" w:cs="Times New Roman"/>
          <w:sz w:val="24"/>
          <w:szCs w:val="24"/>
          <w:lang w:val="nb-NO"/>
        </w:rPr>
        <w:t>til</w:t>
      </w:r>
      <w:r w:rsidR="00C90A88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Russland </w:t>
      </w:r>
      <w:r w:rsidR="00923F91" w:rsidRPr="0025555F">
        <w:rPr>
          <w:rFonts w:ascii="Times New Roman" w:hAnsi="Times New Roman" w:cs="Times New Roman"/>
          <w:sz w:val="24"/>
          <w:szCs w:val="24"/>
          <w:lang w:val="nb-NO"/>
        </w:rPr>
        <w:t>påvirker det</w:t>
      </w:r>
      <w:r w:rsidR="00C90A88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politisk</w:t>
      </w:r>
      <w:r w:rsidR="00923F91" w:rsidRPr="0025555F">
        <w:rPr>
          <w:rFonts w:ascii="Times New Roman" w:hAnsi="Times New Roman" w:cs="Times New Roman"/>
          <w:sz w:val="24"/>
          <w:szCs w:val="24"/>
          <w:lang w:val="nb-NO"/>
        </w:rPr>
        <w:t>e</w:t>
      </w:r>
      <w:r w:rsidR="00C90A88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og økonomisk</w:t>
      </w:r>
      <w:r w:rsidR="00923F91" w:rsidRPr="0025555F">
        <w:rPr>
          <w:rFonts w:ascii="Times New Roman" w:hAnsi="Times New Roman" w:cs="Times New Roman"/>
          <w:sz w:val="24"/>
          <w:szCs w:val="24"/>
          <w:lang w:val="nb-NO"/>
        </w:rPr>
        <w:t>e</w:t>
      </w:r>
      <w:r w:rsidR="00C90A88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923F91" w:rsidRPr="0025555F">
        <w:rPr>
          <w:rFonts w:ascii="Times New Roman" w:hAnsi="Times New Roman" w:cs="Times New Roman"/>
          <w:sz w:val="24"/>
          <w:szCs w:val="24"/>
          <w:lang w:val="nb-NO"/>
        </w:rPr>
        <w:t>landskapet</w:t>
      </w:r>
      <w:r w:rsidR="00C90A88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="00923F91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En bærekraftig </w:t>
      </w:r>
      <w:r w:rsidR="00A631B5">
        <w:rPr>
          <w:rFonts w:ascii="Times New Roman" w:hAnsi="Times New Roman" w:cs="Times New Roman"/>
          <w:sz w:val="24"/>
          <w:szCs w:val="24"/>
          <w:lang w:val="nb-NO"/>
        </w:rPr>
        <w:t>utvikling i</w:t>
      </w:r>
      <w:r w:rsidR="00E073B1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disse regionene er </w:t>
      </w:r>
      <w:r w:rsidR="00923F91" w:rsidRPr="0025555F">
        <w:rPr>
          <w:rFonts w:ascii="Times New Roman" w:hAnsi="Times New Roman" w:cs="Times New Roman"/>
          <w:sz w:val="24"/>
          <w:szCs w:val="24"/>
          <w:lang w:val="nb-NO"/>
        </w:rPr>
        <w:t>avgjørende</w:t>
      </w:r>
      <w:r w:rsidR="007D16DE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for å </w:t>
      </w:r>
      <w:r w:rsidR="00923F91" w:rsidRPr="0025555F">
        <w:rPr>
          <w:rFonts w:ascii="Times New Roman" w:hAnsi="Times New Roman" w:cs="Times New Roman"/>
          <w:sz w:val="24"/>
          <w:szCs w:val="24"/>
          <w:lang w:val="nb-NO"/>
        </w:rPr>
        <w:t>mestre</w:t>
      </w:r>
      <w:r w:rsidR="007D16DE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strategisk risiko og muligheter.</w:t>
      </w:r>
    </w:p>
    <w:p w:rsidR="007D16DE" w:rsidRPr="0025555F" w:rsidRDefault="006D1C7E" w:rsidP="005037E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Innen EU, har disse regionene </w:t>
      </w:r>
      <w:r w:rsidR="00EF6E5E">
        <w:rPr>
          <w:rFonts w:ascii="Times New Roman" w:hAnsi="Times New Roman" w:cs="Times New Roman"/>
          <w:sz w:val="24"/>
          <w:szCs w:val="24"/>
          <w:lang w:val="nb-NO"/>
        </w:rPr>
        <w:t xml:space="preserve">en </w:t>
      </w:r>
      <w:r w:rsidR="007D16DE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unik </w:t>
      </w:r>
      <w:r w:rsidR="00EF6E5E">
        <w:rPr>
          <w:rFonts w:ascii="Times New Roman" w:hAnsi="Times New Roman" w:cs="Times New Roman"/>
          <w:sz w:val="24"/>
          <w:szCs w:val="24"/>
          <w:lang w:val="nb-NO"/>
        </w:rPr>
        <w:t>geografi og ligner</w:t>
      </w:r>
      <w:r w:rsidR="007D16DE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mye på land</w:t>
      </w:r>
      <w:r w:rsidR="00BF7A5E" w:rsidRPr="0025555F">
        <w:rPr>
          <w:rFonts w:ascii="Times New Roman" w:hAnsi="Times New Roman" w:cs="Times New Roman"/>
          <w:sz w:val="24"/>
          <w:szCs w:val="24"/>
          <w:lang w:val="nb-NO"/>
        </w:rPr>
        <w:t>s</w:t>
      </w:r>
      <w:r w:rsidR="007D16DE" w:rsidRPr="0025555F">
        <w:rPr>
          <w:rFonts w:ascii="Times New Roman" w:hAnsi="Times New Roman" w:cs="Times New Roman"/>
          <w:sz w:val="24"/>
          <w:szCs w:val="24"/>
          <w:lang w:val="nb-NO"/>
        </w:rPr>
        <w:t>bygd</w:t>
      </w:r>
      <w:r w:rsidR="00EF6E5E">
        <w:rPr>
          <w:rFonts w:ascii="Times New Roman" w:hAnsi="Times New Roman" w:cs="Times New Roman"/>
          <w:sz w:val="24"/>
          <w:szCs w:val="24"/>
          <w:lang w:val="nb-NO"/>
        </w:rPr>
        <w:t>a i C</w:t>
      </w:r>
      <w:r w:rsidR="007D16DE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anada, Australia og Chile. I </w:t>
      </w:r>
      <w:r w:rsidR="005F4DE5">
        <w:rPr>
          <w:rFonts w:ascii="Times New Roman" w:hAnsi="Times New Roman" w:cs="Times New Roman"/>
          <w:sz w:val="24"/>
          <w:szCs w:val="24"/>
          <w:lang w:val="nb-NO"/>
        </w:rPr>
        <w:t>NSPA</w:t>
      </w:r>
      <w:r w:rsidR="007D16DE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bor </w:t>
      </w:r>
      <w:r w:rsidR="00EF6E5E">
        <w:rPr>
          <w:rFonts w:ascii="Times New Roman" w:hAnsi="Times New Roman" w:cs="Times New Roman"/>
          <w:sz w:val="24"/>
          <w:szCs w:val="24"/>
          <w:lang w:val="nb-NO"/>
        </w:rPr>
        <w:t xml:space="preserve">det </w:t>
      </w:r>
      <w:r w:rsidR="00A631B5">
        <w:rPr>
          <w:rFonts w:ascii="Times New Roman" w:hAnsi="Times New Roman" w:cs="Times New Roman"/>
          <w:sz w:val="24"/>
          <w:szCs w:val="24"/>
          <w:lang w:val="nb-NO"/>
        </w:rPr>
        <w:t>5 personer per kvadrat</w:t>
      </w:r>
      <w:r w:rsidR="007D16DE" w:rsidRPr="0025555F">
        <w:rPr>
          <w:rFonts w:ascii="Times New Roman" w:hAnsi="Times New Roman" w:cs="Times New Roman"/>
          <w:sz w:val="24"/>
          <w:szCs w:val="24"/>
          <w:lang w:val="nb-NO"/>
        </w:rPr>
        <w:t>kilometer og til sammen ca</w:t>
      </w:r>
      <w:r w:rsidR="00EF6E5E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7D16DE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2</w:t>
      </w:r>
      <w:r w:rsidR="00BF7A5E" w:rsidRPr="0025555F">
        <w:rPr>
          <w:rFonts w:ascii="Times New Roman" w:hAnsi="Times New Roman" w:cs="Times New Roman"/>
          <w:sz w:val="24"/>
          <w:szCs w:val="24"/>
          <w:lang w:val="nb-NO"/>
        </w:rPr>
        <w:t>,</w:t>
      </w:r>
      <w:r w:rsidR="007D16DE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6 millioner </w:t>
      </w:r>
      <w:r w:rsidR="003D09A6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innbyggere </w:t>
      </w:r>
      <w:r w:rsidR="007D16DE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på </w:t>
      </w:r>
      <w:r w:rsidR="00EF6E5E">
        <w:rPr>
          <w:rFonts w:ascii="Times New Roman" w:hAnsi="Times New Roman" w:cs="Times New Roman"/>
          <w:sz w:val="24"/>
          <w:szCs w:val="24"/>
          <w:lang w:val="nb-NO"/>
        </w:rPr>
        <w:t xml:space="preserve">et </w:t>
      </w:r>
      <w:r w:rsidR="00BC0D51" w:rsidRPr="0025555F">
        <w:rPr>
          <w:rFonts w:ascii="Times New Roman" w:hAnsi="Times New Roman" w:cs="Times New Roman"/>
          <w:sz w:val="24"/>
          <w:szCs w:val="24"/>
          <w:lang w:val="nb-NO"/>
        </w:rPr>
        <w:t>land</w:t>
      </w:r>
      <w:r w:rsidR="00EF6E5E">
        <w:rPr>
          <w:rFonts w:ascii="Times New Roman" w:hAnsi="Times New Roman" w:cs="Times New Roman"/>
          <w:sz w:val="24"/>
          <w:szCs w:val="24"/>
          <w:lang w:val="nb-NO"/>
        </w:rPr>
        <w:t>areal på</w:t>
      </w:r>
      <w:r w:rsidR="007D16DE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532.000 kvadratkilometer</w:t>
      </w:r>
      <w:r w:rsidR="00EF6E5E">
        <w:rPr>
          <w:rFonts w:ascii="Times New Roman" w:hAnsi="Times New Roman" w:cs="Times New Roman"/>
          <w:sz w:val="24"/>
          <w:szCs w:val="24"/>
          <w:lang w:val="nb-NO"/>
        </w:rPr>
        <w:t>. Dette</w:t>
      </w:r>
      <w:r w:rsidR="00BF7A5E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7D16DE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kan sammenlignes med </w:t>
      </w:r>
      <w:r w:rsidR="00BF7A5E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Romas </w:t>
      </w:r>
      <w:r w:rsidR="00EF6E5E">
        <w:rPr>
          <w:rFonts w:ascii="Times New Roman" w:hAnsi="Times New Roman" w:cs="Times New Roman"/>
          <w:sz w:val="24"/>
          <w:szCs w:val="24"/>
          <w:lang w:val="nb-NO"/>
        </w:rPr>
        <w:t>befolkning på hele</w:t>
      </w:r>
      <w:r w:rsidR="007D16DE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98053D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Spanias </w:t>
      </w:r>
      <w:r w:rsidR="00BC0D51" w:rsidRPr="0025555F">
        <w:rPr>
          <w:rFonts w:ascii="Times New Roman" w:hAnsi="Times New Roman" w:cs="Times New Roman"/>
          <w:sz w:val="24"/>
          <w:szCs w:val="24"/>
          <w:lang w:val="nb-NO"/>
        </w:rPr>
        <w:t>land</w:t>
      </w:r>
      <w:r w:rsidR="0098053D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areal. De tre regionene i </w:t>
      </w:r>
      <w:r w:rsidR="005F4DE5">
        <w:rPr>
          <w:rFonts w:ascii="Times New Roman" w:hAnsi="Times New Roman" w:cs="Times New Roman"/>
          <w:sz w:val="24"/>
          <w:szCs w:val="24"/>
          <w:lang w:val="nb-NO"/>
        </w:rPr>
        <w:t>NSPA</w:t>
      </w:r>
      <w:r w:rsidR="00EF6E5E">
        <w:rPr>
          <w:rFonts w:ascii="Times New Roman" w:hAnsi="Times New Roman" w:cs="Times New Roman"/>
          <w:sz w:val="24"/>
          <w:szCs w:val="24"/>
          <w:lang w:val="nb-NO"/>
        </w:rPr>
        <w:t xml:space="preserve"> deler</w:t>
      </w:r>
      <w:r w:rsidR="00894449">
        <w:rPr>
          <w:rFonts w:ascii="Times New Roman" w:hAnsi="Times New Roman" w:cs="Times New Roman"/>
          <w:sz w:val="24"/>
          <w:szCs w:val="24"/>
          <w:lang w:val="nb-NO"/>
        </w:rPr>
        <w:t xml:space="preserve"> i stor grad naturlige omgivelser</w:t>
      </w:r>
      <w:r w:rsidR="0098053D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– barskt klima, rike </w:t>
      </w:r>
      <w:r w:rsidR="00DD745D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naturressurser, relativt </w:t>
      </w:r>
      <w:r w:rsidR="00894449">
        <w:rPr>
          <w:rFonts w:ascii="Times New Roman" w:hAnsi="Times New Roman" w:cs="Times New Roman"/>
          <w:sz w:val="24"/>
          <w:szCs w:val="24"/>
          <w:lang w:val="nb-NO"/>
        </w:rPr>
        <w:t>lite landbruk, stort potensiale</w:t>
      </w:r>
      <w:r w:rsidR="00DD745D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894449">
        <w:rPr>
          <w:rFonts w:ascii="Times New Roman" w:hAnsi="Times New Roman" w:cs="Times New Roman"/>
          <w:sz w:val="24"/>
          <w:szCs w:val="24"/>
          <w:lang w:val="nb-NO"/>
        </w:rPr>
        <w:t xml:space="preserve">når det gjelder </w:t>
      </w:r>
      <w:r w:rsidR="00BF7A5E" w:rsidRPr="0025555F">
        <w:rPr>
          <w:rFonts w:ascii="Times New Roman" w:hAnsi="Times New Roman" w:cs="Times New Roman"/>
          <w:sz w:val="24"/>
          <w:szCs w:val="24"/>
          <w:lang w:val="nb-NO"/>
        </w:rPr>
        <w:t>for</w:t>
      </w:r>
      <w:r w:rsidR="00894449">
        <w:rPr>
          <w:rFonts w:ascii="Times New Roman" w:hAnsi="Times New Roman" w:cs="Times New Roman"/>
          <w:sz w:val="24"/>
          <w:szCs w:val="24"/>
          <w:lang w:val="nb-NO"/>
        </w:rPr>
        <w:t>nybar energi</w:t>
      </w:r>
      <w:r w:rsidR="00DD745D" w:rsidRPr="0025555F">
        <w:rPr>
          <w:rFonts w:ascii="Times New Roman" w:hAnsi="Times New Roman" w:cs="Times New Roman"/>
          <w:sz w:val="24"/>
          <w:szCs w:val="24"/>
          <w:lang w:val="nb-NO"/>
        </w:rPr>
        <w:t>, store avstand</w:t>
      </w:r>
      <w:r w:rsidR="00894449">
        <w:rPr>
          <w:rFonts w:ascii="Times New Roman" w:hAnsi="Times New Roman" w:cs="Times New Roman"/>
          <w:sz w:val="24"/>
          <w:szCs w:val="24"/>
          <w:lang w:val="nb-NO"/>
        </w:rPr>
        <w:t>er</w:t>
      </w:r>
      <w:r w:rsidR="00DD745D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til marked</w:t>
      </w:r>
      <w:r w:rsidR="00894449">
        <w:rPr>
          <w:rFonts w:ascii="Times New Roman" w:hAnsi="Times New Roman" w:cs="Times New Roman"/>
          <w:sz w:val="24"/>
          <w:szCs w:val="24"/>
          <w:lang w:val="nb-NO"/>
        </w:rPr>
        <w:t>et og kostbar</w:t>
      </w:r>
      <w:r w:rsidR="00DD745D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894449">
        <w:rPr>
          <w:rFonts w:ascii="Times New Roman" w:hAnsi="Times New Roman" w:cs="Times New Roman"/>
          <w:sz w:val="24"/>
          <w:szCs w:val="24"/>
          <w:lang w:val="nb-NO"/>
        </w:rPr>
        <w:t>landtransport. De naturlige omgivelsene</w:t>
      </w:r>
      <w:r w:rsidR="00BE67C5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spiller</w:t>
      </w:r>
      <w:r w:rsidR="00894449">
        <w:rPr>
          <w:rFonts w:ascii="Times New Roman" w:hAnsi="Times New Roman" w:cs="Times New Roman"/>
          <w:sz w:val="24"/>
          <w:szCs w:val="24"/>
          <w:lang w:val="nb-NO"/>
        </w:rPr>
        <w:t xml:space="preserve"> en</w:t>
      </w:r>
      <w:r w:rsidR="00BE67C5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mye viktigere rolle i </w:t>
      </w:r>
      <w:r w:rsidR="005F4DE5">
        <w:rPr>
          <w:rFonts w:ascii="Times New Roman" w:hAnsi="Times New Roman" w:cs="Times New Roman"/>
          <w:sz w:val="24"/>
          <w:szCs w:val="24"/>
          <w:lang w:val="nb-NO"/>
        </w:rPr>
        <w:t>NSPA</w:t>
      </w:r>
      <w:r w:rsidR="00BE67C5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enn i </w:t>
      </w:r>
      <w:r w:rsidR="00BF7A5E" w:rsidRPr="0025555F">
        <w:rPr>
          <w:rFonts w:ascii="Times New Roman" w:hAnsi="Times New Roman" w:cs="Times New Roman"/>
          <w:sz w:val="24"/>
          <w:szCs w:val="24"/>
          <w:lang w:val="nb-NO"/>
        </w:rPr>
        <w:t>S</w:t>
      </w:r>
      <w:r w:rsidR="00BE67C5" w:rsidRPr="0025555F">
        <w:rPr>
          <w:rFonts w:ascii="Times New Roman" w:hAnsi="Times New Roman" w:cs="Times New Roman"/>
          <w:sz w:val="24"/>
          <w:szCs w:val="24"/>
          <w:lang w:val="nb-NO"/>
        </w:rPr>
        <w:t>ør</w:t>
      </w:r>
      <w:r w:rsidR="00BF7A5E" w:rsidRPr="0025555F">
        <w:rPr>
          <w:rFonts w:ascii="Times New Roman" w:hAnsi="Times New Roman" w:cs="Times New Roman"/>
          <w:sz w:val="24"/>
          <w:szCs w:val="24"/>
          <w:lang w:val="nb-NO"/>
        </w:rPr>
        <w:t>-</w:t>
      </w:r>
      <w:r w:rsidR="00BE67C5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Europa hvor </w:t>
      </w:r>
      <w:r w:rsidR="006A4D66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tettsteder med høy befolkningstetthet er </w:t>
      </w:r>
      <w:r w:rsidR="00A35208">
        <w:rPr>
          <w:rFonts w:ascii="Times New Roman" w:hAnsi="Times New Roman" w:cs="Times New Roman"/>
          <w:sz w:val="24"/>
          <w:szCs w:val="24"/>
          <w:lang w:val="nb-NO"/>
        </w:rPr>
        <w:t>ad</w:t>
      </w:r>
      <w:r w:rsidR="00BC0D51" w:rsidRPr="0025555F">
        <w:rPr>
          <w:rFonts w:ascii="Times New Roman" w:hAnsi="Times New Roman" w:cs="Times New Roman"/>
          <w:sz w:val="24"/>
          <w:szCs w:val="24"/>
          <w:lang w:val="nb-NO"/>
        </w:rPr>
        <w:t>skilt</w:t>
      </w:r>
      <w:r w:rsidR="006A4D66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fra natur</w:t>
      </w:r>
      <w:r w:rsidR="00A35208">
        <w:rPr>
          <w:rFonts w:ascii="Times New Roman" w:hAnsi="Times New Roman" w:cs="Times New Roman"/>
          <w:sz w:val="24"/>
          <w:szCs w:val="24"/>
          <w:lang w:val="nb-NO"/>
        </w:rPr>
        <w:t>en</w:t>
      </w:r>
      <w:r w:rsidR="006A4D66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r w:rsidR="00A631B5">
        <w:rPr>
          <w:rFonts w:ascii="Times New Roman" w:hAnsi="Times New Roman" w:cs="Times New Roman"/>
          <w:sz w:val="24"/>
          <w:szCs w:val="24"/>
          <w:lang w:val="nb-NO"/>
        </w:rPr>
        <w:t>noe som</w:t>
      </w:r>
      <w:r w:rsidR="006A4D66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begrenser naturens betydning </w:t>
      </w:r>
      <w:r w:rsidR="00BC0D51" w:rsidRPr="0025555F">
        <w:rPr>
          <w:rFonts w:ascii="Times New Roman" w:hAnsi="Times New Roman" w:cs="Times New Roman"/>
          <w:sz w:val="24"/>
          <w:szCs w:val="24"/>
          <w:lang w:val="nb-NO"/>
        </w:rPr>
        <w:t>for</w:t>
      </w:r>
      <w:r w:rsidR="00A35208">
        <w:rPr>
          <w:rFonts w:ascii="Times New Roman" w:hAnsi="Times New Roman" w:cs="Times New Roman"/>
          <w:sz w:val="24"/>
          <w:szCs w:val="24"/>
          <w:lang w:val="nb-NO"/>
        </w:rPr>
        <w:t xml:space="preserve"> mennesker og bedrifter</w:t>
      </w:r>
      <w:r w:rsidR="006A4D66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</w:p>
    <w:p w:rsidR="0098578B" w:rsidRPr="0025555F" w:rsidRDefault="00853DF4" w:rsidP="005037E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25555F">
        <w:rPr>
          <w:rFonts w:ascii="Times New Roman" w:hAnsi="Times New Roman" w:cs="Times New Roman"/>
          <w:sz w:val="24"/>
          <w:szCs w:val="24"/>
          <w:lang w:val="nb-NO"/>
        </w:rPr>
        <w:t>Økonomi</w:t>
      </w:r>
      <w:r w:rsidR="00A35208">
        <w:rPr>
          <w:rFonts w:ascii="Times New Roman" w:hAnsi="Times New Roman" w:cs="Times New Roman"/>
          <w:sz w:val="24"/>
          <w:szCs w:val="24"/>
          <w:lang w:val="nb-NO"/>
        </w:rPr>
        <w:t>en i</w:t>
      </w:r>
      <w:r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5477FD" w:rsidRPr="0025555F">
        <w:rPr>
          <w:rFonts w:ascii="Times New Roman" w:hAnsi="Times New Roman" w:cs="Times New Roman"/>
          <w:sz w:val="24"/>
          <w:szCs w:val="24"/>
          <w:lang w:val="nb-NO"/>
        </w:rPr>
        <w:t>spredt befolkede områder</w:t>
      </w:r>
      <w:r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som </w:t>
      </w:r>
      <w:r w:rsidR="005F4DE5">
        <w:rPr>
          <w:rFonts w:ascii="Times New Roman" w:hAnsi="Times New Roman" w:cs="Times New Roman"/>
          <w:sz w:val="24"/>
          <w:szCs w:val="24"/>
          <w:lang w:val="nb-NO"/>
        </w:rPr>
        <w:t>NSPA</w:t>
      </w:r>
      <w:r w:rsidR="00A631B5">
        <w:rPr>
          <w:rFonts w:ascii="Times New Roman" w:hAnsi="Times New Roman" w:cs="Times New Roman"/>
          <w:sz w:val="24"/>
          <w:szCs w:val="24"/>
          <w:lang w:val="nb-NO"/>
        </w:rPr>
        <w:t>, mangler fordeler</w:t>
      </w:r>
      <w:r w:rsidR="00A35208">
        <w:rPr>
          <w:rFonts w:ascii="Times New Roman" w:hAnsi="Times New Roman" w:cs="Times New Roman"/>
          <w:sz w:val="24"/>
          <w:szCs w:val="24"/>
          <w:lang w:val="nb-NO"/>
        </w:rPr>
        <w:t xml:space="preserve"> som mer tettbebygde områder</w:t>
      </w:r>
      <w:r w:rsidR="00EE23E1">
        <w:rPr>
          <w:rFonts w:ascii="Times New Roman" w:hAnsi="Times New Roman" w:cs="Times New Roman"/>
          <w:sz w:val="24"/>
          <w:szCs w:val="24"/>
          <w:lang w:val="nb-NO"/>
        </w:rPr>
        <w:t xml:space="preserve"> har, som deling av tilgjengelige fasiliteter, </w:t>
      </w:r>
      <w:r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ressurser og spesialisering, </w:t>
      </w:r>
      <w:r w:rsidR="00EE23E1">
        <w:rPr>
          <w:rFonts w:ascii="Times New Roman" w:hAnsi="Times New Roman" w:cs="Times New Roman"/>
          <w:sz w:val="24"/>
          <w:szCs w:val="24"/>
          <w:lang w:val="nb-NO"/>
        </w:rPr>
        <w:t>større arbeidsmarked</w:t>
      </w:r>
      <w:r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og </w:t>
      </w:r>
      <w:r w:rsidR="00131FB1">
        <w:rPr>
          <w:rFonts w:ascii="Times New Roman" w:hAnsi="Times New Roman" w:cs="Times New Roman"/>
          <w:sz w:val="24"/>
          <w:szCs w:val="24"/>
          <w:lang w:val="nb-NO"/>
        </w:rPr>
        <w:t xml:space="preserve">ringvirkninger av </w:t>
      </w:r>
      <w:r w:rsidR="006B3D62">
        <w:rPr>
          <w:rFonts w:ascii="Times New Roman" w:hAnsi="Times New Roman" w:cs="Times New Roman"/>
          <w:sz w:val="24"/>
          <w:szCs w:val="24"/>
          <w:lang w:val="nb-NO"/>
        </w:rPr>
        <w:t>kunnskap. D</w:t>
      </w:r>
      <w:r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enne rapporten finner </w:t>
      </w:r>
      <w:r w:rsidR="006B3D62">
        <w:rPr>
          <w:rFonts w:ascii="Times New Roman" w:hAnsi="Times New Roman" w:cs="Times New Roman"/>
          <w:sz w:val="24"/>
          <w:szCs w:val="24"/>
          <w:lang w:val="nb-NO"/>
        </w:rPr>
        <w:t xml:space="preserve">det likevel </w:t>
      </w:r>
      <w:r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at </w:t>
      </w:r>
      <w:r w:rsidR="006B3D62">
        <w:rPr>
          <w:rFonts w:ascii="Times New Roman" w:hAnsi="Times New Roman" w:cs="Times New Roman"/>
          <w:sz w:val="24"/>
          <w:szCs w:val="24"/>
          <w:lang w:val="nb-NO"/>
        </w:rPr>
        <w:t xml:space="preserve">høy produktivitetsvekst </w:t>
      </w:r>
      <w:r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er mulig </w:t>
      </w:r>
      <w:r w:rsidR="006B3D62">
        <w:rPr>
          <w:rFonts w:ascii="Times New Roman" w:hAnsi="Times New Roman" w:cs="Times New Roman"/>
          <w:sz w:val="24"/>
          <w:szCs w:val="24"/>
          <w:lang w:val="nb-NO"/>
        </w:rPr>
        <w:t xml:space="preserve">gjennom å overvinne </w:t>
      </w:r>
      <w:r w:rsidR="001F75BA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ulempene </w:t>
      </w:r>
      <w:r w:rsidR="006B3D62">
        <w:rPr>
          <w:rFonts w:ascii="Times New Roman" w:hAnsi="Times New Roman" w:cs="Times New Roman"/>
          <w:sz w:val="24"/>
          <w:szCs w:val="24"/>
          <w:lang w:val="nb-NO"/>
        </w:rPr>
        <w:t>gjennom andre mekanismer</w:t>
      </w:r>
      <w:r w:rsidR="005477FD" w:rsidRPr="0025555F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1F75BA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6B3D62">
        <w:rPr>
          <w:rFonts w:ascii="Times New Roman" w:hAnsi="Times New Roman" w:cs="Times New Roman"/>
          <w:sz w:val="24"/>
          <w:szCs w:val="24"/>
          <w:lang w:val="nb-NO"/>
        </w:rPr>
        <w:t xml:space="preserve">For eksempel så er det en rekke næringer </w:t>
      </w:r>
      <w:r w:rsidR="0066602A">
        <w:rPr>
          <w:rFonts w:ascii="Times New Roman" w:hAnsi="Times New Roman" w:cs="Times New Roman"/>
          <w:sz w:val="24"/>
          <w:szCs w:val="24"/>
          <w:lang w:val="nb-NO"/>
        </w:rPr>
        <w:t xml:space="preserve">innen </w:t>
      </w:r>
      <w:r w:rsidR="005477FD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bl.a. </w:t>
      </w:r>
      <w:r w:rsidR="0066602A">
        <w:rPr>
          <w:rFonts w:ascii="Times New Roman" w:hAnsi="Times New Roman" w:cs="Times New Roman"/>
          <w:sz w:val="24"/>
          <w:szCs w:val="24"/>
          <w:lang w:val="nb-NO"/>
        </w:rPr>
        <w:t>tre- og gruveindustri</w:t>
      </w:r>
      <w:r w:rsidR="001F75BA" w:rsidRPr="00D86DA9">
        <w:rPr>
          <w:rFonts w:ascii="Times New Roman" w:hAnsi="Times New Roman" w:cs="Times New Roman"/>
          <w:sz w:val="24"/>
          <w:szCs w:val="24"/>
          <w:lang w:val="nb-NO"/>
        </w:rPr>
        <w:t xml:space="preserve"> hvor</w:t>
      </w:r>
      <w:r w:rsidR="001F75BA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66602A">
        <w:rPr>
          <w:rFonts w:ascii="Times New Roman" w:hAnsi="Times New Roman" w:cs="Times New Roman"/>
          <w:sz w:val="24"/>
          <w:szCs w:val="24"/>
          <w:lang w:val="nb-NO"/>
        </w:rPr>
        <w:t xml:space="preserve">en </w:t>
      </w:r>
      <w:r w:rsidR="001F75BA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vertikal integrasjon </w:t>
      </w:r>
      <w:r w:rsidR="0066602A">
        <w:rPr>
          <w:rFonts w:ascii="Times New Roman" w:hAnsi="Times New Roman" w:cs="Times New Roman"/>
          <w:sz w:val="24"/>
          <w:szCs w:val="24"/>
          <w:lang w:val="nb-NO"/>
        </w:rPr>
        <w:t xml:space="preserve">representerer en fordel og kan erstatte </w:t>
      </w:r>
      <w:r w:rsidR="001F75BA" w:rsidRPr="0025555F">
        <w:rPr>
          <w:rFonts w:ascii="Times New Roman" w:hAnsi="Times New Roman" w:cs="Times New Roman"/>
          <w:sz w:val="24"/>
          <w:szCs w:val="24"/>
          <w:lang w:val="nb-NO"/>
        </w:rPr>
        <w:t>behov</w:t>
      </w:r>
      <w:r w:rsidR="0066602A">
        <w:rPr>
          <w:rFonts w:ascii="Times New Roman" w:hAnsi="Times New Roman" w:cs="Times New Roman"/>
          <w:sz w:val="24"/>
          <w:szCs w:val="24"/>
          <w:lang w:val="nb-NO"/>
        </w:rPr>
        <w:t>et</w:t>
      </w:r>
      <w:r w:rsidR="001F75BA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66602A">
        <w:rPr>
          <w:rFonts w:ascii="Times New Roman" w:hAnsi="Times New Roman" w:cs="Times New Roman"/>
          <w:sz w:val="24"/>
          <w:szCs w:val="24"/>
          <w:lang w:val="nb-NO"/>
        </w:rPr>
        <w:t>for deling av fasiliteter</w:t>
      </w:r>
      <w:r w:rsidR="001F75BA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="0066602A">
        <w:rPr>
          <w:rFonts w:ascii="Times New Roman" w:hAnsi="Times New Roman" w:cs="Times New Roman"/>
          <w:sz w:val="24"/>
          <w:szCs w:val="24"/>
          <w:lang w:val="nb-NO"/>
        </w:rPr>
        <w:t>S</w:t>
      </w:r>
      <w:r w:rsidR="0030326C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predt befolkede områder </w:t>
      </w:r>
      <w:r w:rsidR="0098578B" w:rsidRPr="0025555F">
        <w:rPr>
          <w:rFonts w:ascii="Times New Roman" w:hAnsi="Times New Roman" w:cs="Times New Roman"/>
          <w:sz w:val="24"/>
          <w:szCs w:val="24"/>
          <w:lang w:val="nb-NO"/>
        </w:rPr>
        <w:t>kan</w:t>
      </w:r>
      <w:r w:rsidR="0066602A">
        <w:rPr>
          <w:rFonts w:ascii="Times New Roman" w:hAnsi="Times New Roman" w:cs="Times New Roman"/>
          <w:sz w:val="24"/>
          <w:szCs w:val="24"/>
          <w:lang w:val="nb-NO"/>
        </w:rPr>
        <w:t xml:space="preserve"> også</w:t>
      </w:r>
      <w:r w:rsidR="0098578B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tiltrekke arbeidstakere fra andre regioner og utlande</w:t>
      </w:r>
      <w:r w:rsidR="00D849AA">
        <w:rPr>
          <w:rFonts w:ascii="Times New Roman" w:hAnsi="Times New Roman" w:cs="Times New Roman"/>
          <w:sz w:val="24"/>
          <w:szCs w:val="24"/>
          <w:lang w:val="nb-NO"/>
        </w:rPr>
        <w:t>t ved å tilby dem høyere lønn eller mer miljøvenn</w:t>
      </w:r>
      <w:r w:rsidR="0098578B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lige </w:t>
      </w:r>
      <w:r w:rsidR="0030326C" w:rsidRPr="0025555F">
        <w:rPr>
          <w:rFonts w:ascii="Times New Roman" w:hAnsi="Times New Roman" w:cs="Times New Roman"/>
          <w:sz w:val="24"/>
          <w:szCs w:val="24"/>
          <w:lang w:val="nb-NO"/>
        </w:rPr>
        <w:t>leve</w:t>
      </w:r>
      <w:r w:rsidR="0098578B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vilkår.  Bredbånd kan </w:t>
      </w:r>
      <w:r w:rsidR="0030326C" w:rsidRPr="0025555F">
        <w:rPr>
          <w:rFonts w:ascii="Times New Roman" w:hAnsi="Times New Roman" w:cs="Times New Roman"/>
          <w:sz w:val="24"/>
          <w:szCs w:val="24"/>
          <w:lang w:val="nb-NO"/>
        </w:rPr>
        <w:t>styrke</w:t>
      </w:r>
      <w:r w:rsidR="0098578B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forbindelse</w:t>
      </w:r>
      <w:r w:rsidR="00D849AA">
        <w:rPr>
          <w:rFonts w:ascii="Times New Roman" w:hAnsi="Times New Roman" w:cs="Times New Roman"/>
          <w:sz w:val="24"/>
          <w:szCs w:val="24"/>
          <w:lang w:val="nb-NO"/>
        </w:rPr>
        <w:t>ne</w:t>
      </w:r>
      <w:r w:rsidR="0098578B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i avsidesliggende områder og dermed spre nye ideer.</w:t>
      </w:r>
    </w:p>
    <w:p w:rsidR="0025555F" w:rsidRDefault="0098578B" w:rsidP="0025555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Realisering av </w:t>
      </w:r>
      <w:r w:rsidR="00A254F9">
        <w:rPr>
          <w:rFonts w:ascii="Times New Roman" w:hAnsi="Times New Roman" w:cs="Times New Roman"/>
          <w:sz w:val="24"/>
          <w:szCs w:val="24"/>
          <w:lang w:val="nb-NO"/>
        </w:rPr>
        <w:t xml:space="preserve">vekstmuligheter </w:t>
      </w:r>
      <w:r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i disse områdene er forbundet med identifisering av absolutte fordeler. </w:t>
      </w:r>
      <w:r w:rsidR="00A254F9">
        <w:rPr>
          <w:rFonts w:ascii="Times New Roman" w:hAnsi="Times New Roman" w:cs="Times New Roman"/>
          <w:sz w:val="24"/>
          <w:szCs w:val="24"/>
          <w:lang w:val="nb-NO"/>
        </w:rPr>
        <w:t xml:space="preserve">Disse varierer </w:t>
      </w:r>
      <w:r w:rsidR="00EC1322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fra land og </w:t>
      </w:r>
      <w:r w:rsidR="000A737B">
        <w:rPr>
          <w:rFonts w:ascii="Times New Roman" w:hAnsi="Times New Roman" w:cs="Times New Roman"/>
          <w:sz w:val="24"/>
          <w:szCs w:val="24"/>
          <w:lang w:val="nb-NO"/>
        </w:rPr>
        <w:t>fylke</w:t>
      </w:r>
      <w:r w:rsidR="00EC1322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og inkluderer</w:t>
      </w:r>
      <w:r w:rsidR="00A254F9">
        <w:rPr>
          <w:rFonts w:ascii="Times New Roman" w:hAnsi="Times New Roman" w:cs="Times New Roman"/>
          <w:sz w:val="24"/>
          <w:szCs w:val="24"/>
          <w:lang w:val="nb-NO"/>
        </w:rPr>
        <w:t xml:space="preserve"> først og fremst</w:t>
      </w:r>
      <w:r w:rsidR="00EC1322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mineral</w:t>
      </w:r>
      <w:r w:rsidR="00A53297" w:rsidRPr="0025555F">
        <w:rPr>
          <w:rFonts w:ascii="Times New Roman" w:hAnsi="Times New Roman" w:cs="Times New Roman"/>
          <w:sz w:val="24"/>
          <w:szCs w:val="24"/>
          <w:lang w:val="nb-NO"/>
        </w:rPr>
        <w:t>ressurser</w:t>
      </w:r>
      <w:r w:rsidR="00EC1322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og energi, fiskeri og akvakultur, treindustri, fornybar energi og reiseliv. </w:t>
      </w:r>
      <w:r w:rsidR="00A254F9">
        <w:rPr>
          <w:rFonts w:ascii="Times New Roman" w:hAnsi="Times New Roman" w:cs="Times New Roman"/>
          <w:sz w:val="24"/>
          <w:szCs w:val="24"/>
          <w:lang w:val="nb-NO"/>
        </w:rPr>
        <w:t xml:space="preserve"> Disse aktivitetene er koblet opp mot immobile midler</w:t>
      </w:r>
      <w:r w:rsidR="00F169D8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, som naturressurser, </w:t>
      </w:r>
      <w:r w:rsidR="00A254F9">
        <w:rPr>
          <w:rFonts w:ascii="Times New Roman" w:hAnsi="Times New Roman" w:cs="Times New Roman"/>
          <w:sz w:val="24"/>
          <w:szCs w:val="24"/>
          <w:lang w:val="nb-NO"/>
        </w:rPr>
        <w:t>kystbeliggenhet eller nasjonal</w:t>
      </w:r>
      <w:r w:rsidR="00F169D8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parker. </w:t>
      </w:r>
      <w:r w:rsidR="00DA1714">
        <w:rPr>
          <w:rFonts w:ascii="Times New Roman" w:hAnsi="Times New Roman" w:cs="Times New Roman"/>
          <w:sz w:val="24"/>
          <w:szCs w:val="24"/>
          <w:lang w:val="nb-NO"/>
        </w:rPr>
        <w:t>Hoved</w:t>
      </w:r>
      <w:r w:rsidR="00335064" w:rsidRPr="0025555F">
        <w:rPr>
          <w:rFonts w:ascii="Times New Roman" w:hAnsi="Times New Roman" w:cs="Times New Roman"/>
          <w:sz w:val="24"/>
          <w:szCs w:val="24"/>
          <w:lang w:val="nb-NO"/>
        </w:rPr>
        <w:t>spørsmål</w:t>
      </w:r>
      <w:r w:rsidR="00DA1714">
        <w:rPr>
          <w:rFonts w:ascii="Times New Roman" w:hAnsi="Times New Roman" w:cs="Times New Roman"/>
          <w:sz w:val="24"/>
          <w:szCs w:val="24"/>
          <w:lang w:val="nb-NO"/>
        </w:rPr>
        <w:t>et blir derfor</w:t>
      </w:r>
      <w:r w:rsidR="00443D35">
        <w:rPr>
          <w:rFonts w:ascii="Times New Roman" w:hAnsi="Times New Roman" w:cs="Times New Roman"/>
          <w:sz w:val="24"/>
          <w:szCs w:val="24"/>
          <w:lang w:val="nb-NO"/>
        </w:rPr>
        <w:t>,</w:t>
      </w:r>
      <w:r w:rsidR="00DA1714">
        <w:rPr>
          <w:rFonts w:ascii="Times New Roman" w:hAnsi="Times New Roman" w:cs="Times New Roman"/>
          <w:sz w:val="24"/>
          <w:szCs w:val="24"/>
          <w:lang w:val="nb-NO"/>
        </w:rPr>
        <w:t xml:space="preserve"> hvordan </w:t>
      </w:r>
      <w:r w:rsidR="00335064" w:rsidRPr="0025555F">
        <w:rPr>
          <w:rFonts w:ascii="Times New Roman" w:hAnsi="Times New Roman" w:cs="Times New Roman"/>
          <w:sz w:val="24"/>
          <w:szCs w:val="24"/>
          <w:lang w:val="nb-NO"/>
        </w:rPr>
        <w:t>øke verdi</w:t>
      </w:r>
      <w:r w:rsidR="00DA1714">
        <w:rPr>
          <w:rFonts w:ascii="Times New Roman" w:hAnsi="Times New Roman" w:cs="Times New Roman"/>
          <w:sz w:val="24"/>
          <w:szCs w:val="24"/>
          <w:lang w:val="nb-NO"/>
        </w:rPr>
        <w:t>en</w:t>
      </w:r>
      <w:r w:rsidR="00335064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A53297" w:rsidRPr="0025555F">
        <w:rPr>
          <w:rFonts w:ascii="Times New Roman" w:hAnsi="Times New Roman" w:cs="Times New Roman"/>
          <w:sz w:val="24"/>
          <w:szCs w:val="24"/>
          <w:lang w:val="nb-NO"/>
        </w:rPr>
        <w:t>av</w:t>
      </w:r>
      <w:r w:rsidR="00335064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0A737B">
        <w:rPr>
          <w:rFonts w:ascii="Times New Roman" w:hAnsi="Times New Roman" w:cs="Times New Roman"/>
          <w:sz w:val="24"/>
          <w:szCs w:val="24"/>
          <w:lang w:val="nb-NO"/>
        </w:rPr>
        <w:t xml:space="preserve">disse </w:t>
      </w:r>
      <w:r w:rsidR="00DA1714">
        <w:rPr>
          <w:rFonts w:ascii="Times New Roman" w:hAnsi="Times New Roman" w:cs="Times New Roman"/>
          <w:sz w:val="24"/>
          <w:szCs w:val="24"/>
          <w:lang w:val="nb-NO"/>
        </w:rPr>
        <w:t xml:space="preserve">unike </w:t>
      </w:r>
      <w:r w:rsidR="000A737B">
        <w:rPr>
          <w:rFonts w:ascii="Times New Roman" w:hAnsi="Times New Roman" w:cs="Times New Roman"/>
          <w:sz w:val="24"/>
          <w:szCs w:val="24"/>
          <w:lang w:val="nb-NO"/>
        </w:rPr>
        <w:t>ressursene</w:t>
      </w:r>
      <w:r w:rsidR="00335064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DA1714">
        <w:rPr>
          <w:rFonts w:ascii="Times New Roman" w:hAnsi="Times New Roman" w:cs="Times New Roman"/>
          <w:sz w:val="24"/>
          <w:szCs w:val="24"/>
          <w:lang w:val="nb-NO"/>
        </w:rPr>
        <w:t>gjennom å støtte faktorer som gjør en i stand til</w:t>
      </w:r>
      <w:r w:rsidR="00FD3A44">
        <w:rPr>
          <w:rFonts w:ascii="Times New Roman" w:hAnsi="Times New Roman" w:cs="Times New Roman"/>
          <w:sz w:val="24"/>
          <w:szCs w:val="24"/>
          <w:lang w:val="nb-NO"/>
        </w:rPr>
        <w:t xml:space="preserve"> å øke produksjonen, som</w:t>
      </w:r>
      <w:r w:rsidR="00443D3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FD3A44">
        <w:rPr>
          <w:rFonts w:ascii="Times New Roman" w:hAnsi="Times New Roman" w:cs="Times New Roman"/>
          <w:sz w:val="24"/>
          <w:szCs w:val="24"/>
          <w:lang w:val="nb-NO"/>
        </w:rPr>
        <w:t>k</w:t>
      </w:r>
      <w:r w:rsidR="00335064" w:rsidRPr="0025555F">
        <w:rPr>
          <w:rFonts w:ascii="Times New Roman" w:hAnsi="Times New Roman" w:cs="Times New Roman"/>
          <w:sz w:val="24"/>
          <w:szCs w:val="24"/>
          <w:lang w:val="nb-NO"/>
        </w:rPr>
        <w:t>unnskap, innovasjon, i</w:t>
      </w:r>
      <w:r w:rsidR="00A53297" w:rsidRPr="0025555F">
        <w:rPr>
          <w:rFonts w:ascii="Times New Roman" w:hAnsi="Times New Roman" w:cs="Times New Roman"/>
          <w:sz w:val="24"/>
          <w:szCs w:val="24"/>
          <w:lang w:val="nb-NO"/>
        </w:rPr>
        <w:t>n</w:t>
      </w:r>
      <w:r w:rsidR="00FD3A44">
        <w:rPr>
          <w:rFonts w:ascii="Times New Roman" w:hAnsi="Times New Roman" w:cs="Times New Roman"/>
          <w:sz w:val="24"/>
          <w:szCs w:val="24"/>
          <w:lang w:val="nb-NO"/>
        </w:rPr>
        <w:t>frastruktur og næringsmiljø</w:t>
      </w:r>
      <w:r w:rsidR="000A737B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335064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FD3A44">
        <w:rPr>
          <w:rFonts w:ascii="Times New Roman" w:hAnsi="Times New Roman" w:cs="Times New Roman"/>
          <w:sz w:val="24"/>
          <w:szCs w:val="24"/>
          <w:lang w:val="nb-NO"/>
        </w:rPr>
        <w:t>Konseptet SMART spesialisering er d</w:t>
      </w:r>
      <w:r w:rsidR="00335064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erfor </w:t>
      </w:r>
      <w:r w:rsidR="00FD3A44">
        <w:rPr>
          <w:rFonts w:ascii="Times New Roman" w:hAnsi="Times New Roman" w:cs="Times New Roman"/>
          <w:sz w:val="24"/>
          <w:szCs w:val="24"/>
          <w:lang w:val="nb-NO"/>
        </w:rPr>
        <w:t xml:space="preserve">en fornuftig tilnærming </w:t>
      </w:r>
      <w:r w:rsidR="002A47B5">
        <w:rPr>
          <w:rFonts w:ascii="Times New Roman" w:hAnsi="Times New Roman" w:cs="Times New Roman"/>
          <w:sz w:val="24"/>
          <w:szCs w:val="24"/>
          <w:lang w:val="nb-NO"/>
        </w:rPr>
        <w:t xml:space="preserve">i </w:t>
      </w:r>
      <w:r w:rsidR="00A53297" w:rsidRPr="0025555F">
        <w:rPr>
          <w:rFonts w:ascii="Times New Roman" w:hAnsi="Times New Roman" w:cs="Times New Roman"/>
          <w:sz w:val="24"/>
          <w:szCs w:val="24"/>
          <w:lang w:val="nb-NO"/>
        </w:rPr>
        <w:t>spredt befolkede områder</w:t>
      </w:r>
      <w:r w:rsidR="00335064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="002A47B5">
        <w:rPr>
          <w:rFonts w:ascii="Times New Roman" w:hAnsi="Times New Roman" w:cs="Times New Roman"/>
          <w:sz w:val="24"/>
          <w:szCs w:val="24"/>
          <w:lang w:val="nb-NO"/>
        </w:rPr>
        <w:t xml:space="preserve">Hvis dette gjøres riktig, kan man </w:t>
      </w:r>
      <w:r w:rsidR="000A737B">
        <w:rPr>
          <w:rFonts w:ascii="Times New Roman" w:hAnsi="Times New Roman" w:cs="Times New Roman"/>
          <w:sz w:val="24"/>
          <w:szCs w:val="24"/>
          <w:lang w:val="nb-NO"/>
        </w:rPr>
        <w:t>identifisere og fokusere på områder</w:t>
      </w:r>
      <w:r w:rsidR="002A47B5">
        <w:rPr>
          <w:rFonts w:ascii="Times New Roman" w:hAnsi="Times New Roman" w:cs="Times New Roman"/>
          <w:sz w:val="24"/>
          <w:szCs w:val="24"/>
          <w:lang w:val="nb-NO"/>
        </w:rPr>
        <w:t xml:space="preserve"> hvor man har absolutte fordeler og dermed oppnå en verdiøkning gjennom </w:t>
      </w:r>
      <w:proofErr w:type="spellStart"/>
      <w:r w:rsidR="002A47B5">
        <w:rPr>
          <w:rFonts w:ascii="Times New Roman" w:hAnsi="Times New Roman" w:cs="Times New Roman"/>
          <w:sz w:val="24"/>
          <w:szCs w:val="24"/>
          <w:lang w:val="nb-NO"/>
        </w:rPr>
        <w:t>diversifisering</w:t>
      </w:r>
      <w:proofErr w:type="spellEnd"/>
      <w:r w:rsidR="004D0381" w:rsidRPr="0025555F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25555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:rsidR="00735880" w:rsidRPr="0025555F" w:rsidRDefault="00735880" w:rsidP="009104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25555F">
        <w:rPr>
          <w:rFonts w:ascii="Times New Roman" w:hAnsi="Times New Roman" w:cs="Times New Roman"/>
          <w:sz w:val="24"/>
          <w:szCs w:val="24"/>
          <w:lang w:val="nb-NO"/>
        </w:rPr>
        <w:t>I</w:t>
      </w:r>
      <w:r w:rsidR="00A53297" w:rsidRPr="0025555F">
        <w:rPr>
          <w:rFonts w:ascii="Times New Roman" w:hAnsi="Times New Roman" w:cs="Times New Roman"/>
          <w:sz w:val="24"/>
          <w:szCs w:val="24"/>
          <w:lang w:val="nb-NO"/>
        </w:rPr>
        <w:t>nnen</w:t>
      </w:r>
      <w:r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5F4DE5">
        <w:rPr>
          <w:rFonts w:ascii="Times New Roman" w:hAnsi="Times New Roman" w:cs="Times New Roman"/>
          <w:sz w:val="24"/>
          <w:szCs w:val="24"/>
          <w:lang w:val="nb-NO"/>
        </w:rPr>
        <w:t>NSPA</w:t>
      </w:r>
      <w:r w:rsidR="00C955B5">
        <w:rPr>
          <w:rFonts w:ascii="Times New Roman" w:hAnsi="Times New Roman" w:cs="Times New Roman"/>
          <w:sz w:val="24"/>
          <w:szCs w:val="24"/>
          <w:lang w:val="nb-NO"/>
        </w:rPr>
        <w:t xml:space="preserve"> området nærme</w:t>
      </w:r>
      <w:r w:rsidR="009E3BB2">
        <w:rPr>
          <w:rFonts w:ascii="Times New Roman" w:hAnsi="Times New Roman" w:cs="Times New Roman"/>
          <w:sz w:val="24"/>
          <w:szCs w:val="24"/>
          <w:lang w:val="nb-NO"/>
        </w:rPr>
        <w:t>r økonomiene seg stadig og denne</w:t>
      </w:r>
      <w:r w:rsidR="00C955B5">
        <w:rPr>
          <w:rFonts w:ascii="Times New Roman" w:hAnsi="Times New Roman" w:cs="Times New Roman"/>
          <w:sz w:val="24"/>
          <w:szCs w:val="24"/>
          <w:lang w:val="nb-NO"/>
        </w:rPr>
        <w:t xml:space="preserve"> konvergensen gir muligheter for økt samarbeid til å møte felles utfordringer. </w:t>
      </w:r>
      <w:r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0E2CC8">
        <w:rPr>
          <w:rFonts w:ascii="Times New Roman" w:hAnsi="Times New Roman" w:cs="Times New Roman"/>
          <w:sz w:val="24"/>
          <w:szCs w:val="24"/>
          <w:lang w:val="nb-NO"/>
        </w:rPr>
        <w:t>NSPA fylker med lavere BNP enn OECD gjennomsnittet er i ferd med å ta igjen de andre. Dette er godt synlig i de fem østlige og sentrale fylkene i Finland, hvor man finner en større BNP vekst enn gjennomsnittet i perioden 2000-2012.</w:t>
      </w:r>
      <w:r w:rsidR="00BF1FFC">
        <w:rPr>
          <w:rFonts w:ascii="Times New Roman" w:hAnsi="Times New Roman" w:cs="Times New Roman"/>
          <w:sz w:val="24"/>
          <w:szCs w:val="24"/>
          <w:lang w:val="nb-NO"/>
        </w:rPr>
        <w:t xml:space="preserve"> NSPA fylker som er mer utviklet, vokser saktere. De t</w:t>
      </w:r>
      <w:r w:rsidR="0024425D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re nordnorske </w:t>
      </w:r>
      <w:r w:rsidR="00BF1FFC">
        <w:rPr>
          <w:rFonts w:ascii="Times New Roman" w:hAnsi="Times New Roman" w:cs="Times New Roman"/>
          <w:sz w:val="24"/>
          <w:szCs w:val="24"/>
          <w:lang w:val="nb-NO"/>
        </w:rPr>
        <w:t>fylkene</w:t>
      </w:r>
      <w:r w:rsidR="0024425D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har </w:t>
      </w:r>
      <w:r w:rsidR="00BF1FFC">
        <w:rPr>
          <w:rFonts w:ascii="Times New Roman" w:hAnsi="Times New Roman" w:cs="Times New Roman"/>
          <w:sz w:val="24"/>
          <w:szCs w:val="24"/>
          <w:lang w:val="nb-NO"/>
        </w:rPr>
        <w:t>en</w:t>
      </w:r>
      <w:r w:rsidR="0024425D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AF0919" w:rsidRPr="0025555F">
        <w:rPr>
          <w:rFonts w:ascii="Times New Roman" w:hAnsi="Times New Roman" w:cs="Times New Roman"/>
          <w:sz w:val="24"/>
          <w:szCs w:val="24"/>
          <w:lang w:val="nb-NO"/>
        </w:rPr>
        <w:t>svak</w:t>
      </w:r>
      <w:r w:rsidR="00D140CB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24425D" w:rsidRPr="0025555F">
        <w:rPr>
          <w:rFonts w:ascii="Times New Roman" w:hAnsi="Times New Roman" w:cs="Times New Roman"/>
          <w:sz w:val="24"/>
          <w:szCs w:val="24"/>
          <w:lang w:val="nb-NO"/>
        </w:rPr>
        <w:t>BNP</w:t>
      </w:r>
      <w:r w:rsidR="00D140CB" w:rsidRPr="0025555F">
        <w:rPr>
          <w:rFonts w:ascii="Times New Roman" w:hAnsi="Times New Roman" w:cs="Times New Roman"/>
          <w:sz w:val="24"/>
          <w:szCs w:val="24"/>
          <w:lang w:val="nb-NO"/>
        </w:rPr>
        <w:t>-vekst</w:t>
      </w:r>
      <w:r w:rsidR="0024425D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i tidsrommet 2000-2012</w:t>
      </w:r>
      <w:r w:rsidR="00D140CB" w:rsidRPr="0025555F">
        <w:rPr>
          <w:rFonts w:ascii="Times New Roman" w:hAnsi="Times New Roman" w:cs="Times New Roman"/>
          <w:sz w:val="24"/>
          <w:szCs w:val="24"/>
          <w:lang w:val="nb-NO"/>
        </w:rPr>
        <w:t>,</w:t>
      </w:r>
      <w:r w:rsidR="00BF1FFC">
        <w:rPr>
          <w:rFonts w:ascii="Times New Roman" w:hAnsi="Times New Roman" w:cs="Times New Roman"/>
          <w:sz w:val="24"/>
          <w:szCs w:val="24"/>
          <w:lang w:val="nb-NO"/>
        </w:rPr>
        <w:t xml:space="preserve"> men høyere enn OECD gjennomsnittet</w:t>
      </w:r>
      <w:r w:rsidR="00D140CB" w:rsidRPr="0025555F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910437">
        <w:rPr>
          <w:rFonts w:ascii="Times New Roman" w:hAnsi="Times New Roman" w:cs="Times New Roman"/>
          <w:sz w:val="24"/>
          <w:szCs w:val="24"/>
          <w:lang w:val="nb-NO"/>
        </w:rPr>
        <w:t xml:space="preserve"> Det er også en tredje klynge mellom de som er i ferd med å ta igjen gje</w:t>
      </w:r>
      <w:r w:rsidR="009E3BB2">
        <w:rPr>
          <w:rFonts w:ascii="Times New Roman" w:hAnsi="Times New Roman" w:cs="Times New Roman"/>
          <w:sz w:val="24"/>
          <w:szCs w:val="24"/>
          <w:lang w:val="nb-NO"/>
        </w:rPr>
        <w:t>nnomsnittet og de med lav vekst og</w:t>
      </w:r>
      <w:r w:rsidR="00910437">
        <w:rPr>
          <w:rFonts w:ascii="Times New Roman" w:hAnsi="Times New Roman" w:cs="Times New Roman"/>
          <w:sz w:val="24"/>
          <w:szCs w:val="24"/>
          <w:lang w:val="nb-NO"/>
        </w:rPr>
        <w:t xml:space="preserve"> med </w:t>
      </w:r>
      <w:r w:rsidR="00910437">
        <w:rPr>
          <w:rFonts w:ascii="Times New Roman" w:hAnsi="Times New Roman" w:cs="Times New Roman"/>
          <w:sz w:val="24"/>
          <w:szCs w:val="24"/>
          <w:lang w:val="nb-NO"/>
        </w:rPr>
        <w:lastRenderedPageBreak/>
        <w:t>BNP vekst omtrent som OECD gjennomsnittet. Disse</w:t>
      </w:r>
      <w:r w:rsidR="00D140CB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inkludere alle svenske regione</w:t>
      </w:r>
      <w:r w:rsidR="00AF0919" w:rsidRPr="0025555F">
        <w:rPr>
          <w:rFonts w:ascii="Times New Roman" w:hAnsi="Times New Roman" w:cs="Times New Roman"/>
          <w:sz w:val="24"/>
          <w:szCs w:val="24"/>
          <w:lang w:val="nb-NO"/>
        </w:rPr>
        <w:t>r</w:t>
      </w:r>
      <w:r w:rsidR="00D140CB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sammen med to finske regione</w:t>
      </w:r>
      <w:r w:rsidR="009E3BB2">
        <w:rPr>
          <w:rFonts w:ascii="Times New Roman" w:hAnsi="Times New Roman" w:cs="Times New Roman"/>
          <w:sz w:val="24"/>
          <w:szCs w:val="24"/>
          <w:lang w:val="nb-NO"/>
        </w:rPr>
        <w:t>ne</w:t>
      </w:r>
      <w:r w:rsidR="00D140CB" w:rsidRPr="0025555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D140CB" w:rsidRPr="0025555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Norra </w:t>
      </w:r>
      <w:proofErr w:type="spellStart"/>
      <w:r w:rsidR="00D140CB" w:rsidRPr="0025555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Österbotten</w:t>
      </w:r>
      <w:proofErr w:type="spellEnd"/>
      <w:r w:rsidR="00D140CB" w:rsidRPr="0025555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 og </w:t>
      </w:r>
      <w:proofErr w:type="spellStart"/>
      <w:r w:rsidR="00D140CB" w:rsidRPr="0025555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Lapland</w:t>
      </w:r>
      <w:proofErr w:type="spellEnd"/>
      <w:r w:rsidR="00D140CB" w:rsidRPr="0025555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.</w:t>
      </w:r>
    </w:p>
    <w:p w:rsidR="00AA4C28" w:rsidRDefault="009E3BB2" w:rsidP="00B37703">
      <w:pPr>
        <w:ind w:firstLine="708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Til tross av </w:t>
      </w:r>
      <w:r w:rsidR="0051297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a</w:t>
      </w:r>
      <w:r w:rsidR="00F4284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vsides be</w:t>
      </w:r>
      <w:r w:rsidR="0051297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liggenhet</w:t>
      </w:r>
      <w:r w:rsidR="00D140CB" w:rsidRPr="006B63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 og barsk</w:t>
      </w:r>
      <w:r w:rsidR="0051297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t</w:t>
      </w:r>
      <w:r w:rsidR="00D140CB" w:rsidRPr="006B63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 klima, </w:t>
      </w:r>
      <w:r w:rsidR="00AF0919" w:rsidRPr="006B63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er </w:t>
      </w:r>
      <w:r w:rsidR="00D140CB" w:rsidRPr="006B63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vel</w:t>
      </w:r>
      <w:r w:rsidR="00AF0919" w:rsidRPr="006B63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stand</w:t>
      </w:r>
      <w:r w:rsidR="0051297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en</w:t>
      </w:r>
      <w:r w:rsidR="00D140CB" w:rsidRPr="006B63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 </w:t>
      </w:r>
      <w:r w:rsidR="00AF0919" w:rsidRPr="006B63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i </w:t>
      </w:r>
      <w:r w:rsidR="005F4DE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NSPA</w:t>
      </w:r>
      <w:r w:rsidR="00AF0919" w:rsidRPr="006B63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 </w:t>
      </w:r>
      <w:r w:rsidR="0051297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området høy</w:t>
      </w:r>
      <w:r w:rsidR="00D140CB" w:rsidRPr="006B63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,</w:t>
      </w:r>
      <w:r w:rsidR="0051297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 over OECD gjennomsnittet men lavere enn </w:t>
      </w:r>
      <w:r w:rsidR="00D140CB" w:rsidRPr="006B63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nasjonalt nivå. </w:t>
      </w:r>
      <w:r w:rsidR="00AF0919" w:rsidRPr="006B63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I</w:t>
      </w:r>
      <w:r w:rsidR="00D140CB" w:rsidRPr="006B63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nnbyggere i </w:t>
      </w:r>
      <w:r w:rsidR="005F4DE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NSPA</w:t>
      </w:r>
      <w:r w:rsidR="00D140CB" w:rsidRPr="006B63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 opplever </w:t>
      </w:r>
      <w:r w:rsidR="00FD53A8" w:rsidRPr="006B63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som regel</w:t>
      </w:r>
      <w:r w:rsidR="00AF0919" w:rsidRPr="006B63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,</w:t>
      </w:r>
      <w:r w:rsidR="00FD53A8" w:rsidRPr="006B63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 </w:t>
      </w:r>
      <w:r w:rsidR="00F4284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lavere sysselsetting</w:t>
      </w:r>
      <w:r w:rsidR="00FD53A8" w:rsidRPr="006B63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 og lavere inn</w:t>
      </w:r>
      <w:r w:rsidR="00F4284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tekter enn gjennomsnitt nasjonalt</w:t>
      </w:r>
      <w:r w:rsidR="00AF0919" w:rsidRPr="006B63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. </w:t>
      </w:r>
      <w:r w:rsidR="00F4284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Andre faktorer som </w:t>
      </w:r>
      <w:r w:rsidR="00FD53A8" w:rsidRPr="006B63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bolig, miljø og tilgang til tjenester</w:t>
      </w:r>
      <w:r w:rsidR="00F4284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 ligger høyere eller </w:t>
      </w:r>
      <w:r w:rsidR="00AF0919" w:rsidRPr="006B63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på </w:t>
      </w:r>
      <w:r w:rsidR="00FD53A8" w:rsidRPr="006B63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samme </w:t>
      </w:r>
      <w:r w:rsidR="00F4284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nivå som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det nasjonale</w:t>
      </w:r>
      <w:r w:rsidR="008862C1" w:rsidRPr="006B63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. </w:t>
      </w:r>
      <w:r w:rsidR="00F4284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Dette antyder</w:t>
      </w:r>
      <w:r w:rsidR="00AA4C2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 at om man øker sysselsettingen, produktiviteten og forbedrer funksjonaliteten og den geografiske utstrekningen av lokale arbeidsmarkeder, så vil innbyggerne bli boende og en stor del av den demografiske utfordringen vil løse seg. </w:t>
      </w:r>
    </w:p>
    <w:p w:rsidR="00B67AEC" w:rsidRPr="006B631C" w:rsidRDefault="00B67AEC" w:rsidP="006B631C">
      <w:pPr>
        <w:ind w:firstLine="708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</w:pPr>
      <w:r w:rsidRPr="006B63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Rapporten </w:t>
      </w:r>
      <w:r w:rsidR="008B4A6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kommer med politikk </w:t>
      </w:r>
      <w:r w:rsidR="00923F91" w:rsidRPr="006B63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anbefalinger</w:t>
      </w:r>
      <w:r w:rsidRPr="006B63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 på </w:t>
      </w:r>
      <w:r w:rsidR="00923F91" w:rsidRPr="006B63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tverrnasjonalt</w:t>
      </w:r>
      <w:r w:rsidR="00B3770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, nasjonalt og regionalt nivå når det gjelder </w:t>
      </w:r>
      <w:r w:rsidRPr="006B63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å </w:t>
      </w:r>
      <w:r w:rsidR="00B3770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styrke velstand og levestandarden</w:t>
      </w:r>
      <w:r w:rsidRPr="006B63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 i </w:t>
      </w:r>
      <w:r w:rsidR="005F4DE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NSPA</w:t>
      </w:r>
      <w:r w:rsidR="00B3770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. Disse anbefalingene</w:t>
      </w:r>
      <w:r w:rsidRPr="006B63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 er</w:t>
      </w:r>
      <w:r w:rsidR="00B3770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 integrert og</w:t>
      </w:r>
      <w:r w:rsidR="002F102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 utfyllende</w:t>
      </w:r>
      <w:r w:rsidRPr="006B63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. De inkluderer:</w:t>
      </w:r>
    </w:p>
    <w:p w:rsidR="00B67AEC" w:rsidRPr="006B631C" w:rsidRDefault="005F4DE5" w:rsidP="00EE5C02">
      <w:pPr>
        <w:jc w:val="both"/>
        <w:rPr>
          <w:rFonts w:ascii="Times New Roman" w:hAnsi="Times New Roman" w:cs="Times New Roman"/>
          <w:b/>
          <w:bCs/>
          <w:i/>
          <w:color w:val="222222"/>
          <w:sz w:val="28"/>
          <w:szCs w:val="24"/>
          <w:shd w:val="clear" w:color="auto" w:fill="FFFFFF"/>
          <w:lang w:val="nb-NO"/>
        </w:rPr>
      </w:pPr>
      <w:r>
        <w:rPr>
          <w:rFonts w:ascii="Times New Roman" w:hAnsi="Times New Roman" w:cs="Times New Roman"/>
          <w:b/>
          <w:bCs/>
          <w:i/>
          <w:color w:val="222222"/>
          <w:sz w:val="28"/>
          <w:szCs w:val="24"/>
          <w:shd w:val="clear" w:color="auto" w:fill="FFFFFF"/>
          <w:lang w:val="nb-NO"/>
        </w:rPr>
        <w:t>NSPA</w:t>
      </w:r>
      <w:r w:rsidR="008B4A6C">
        <w:rPr>
          <w:rFonts w:ascii="Times New Roman" w:hAnsi="Times New Roman" w:cs="Times New Roman"/>
          <w:b/>
          <w:bCs/>
          <w:i/>
          <w:color w:val="222222"/>
          <w:sz w:val="28"/>
          <w:szCs w:val="24"/>
          <w:shd w:val="clear" w:color="auto" w:fill="FFFFFF"/>
          <w:lang w:val="nb-NO"/>
        </w:rPr>
        <w:t xml:space="preserve"> området</w:t>
      </w:r>
    </w:p>
    <w:p w:rsidR="00B67AEC" w:rsidRDefault="00B67AEC" w:rsidP="00EE5C02">
      <w:pPr>
        <w:pStyle w:val="Listeavsnitt"/>
        <w:numPr>
          <w:ilvl w:val="0"/>
          <w:numId w:val="2"/>
        </w:numPr>
        <w:jc w:val="both"/>
        <w:rPr>
          <w:bCs/>
          <w:color w:val="222222"/>
          <w:shd w:val="clear" w:color="auto" w:fill="FFFFFF"/>
          <w:lang w:val="nb-NO"/>
        </w:rPr>
      </w:pPr>
      <w:r w:rsidRPr="006B631C">
        <w:rPr>
          <w:bCs/>
          <w:color w:val="222222"/>
          <w:shd w:val="clear" w:color="auto" w:fill="FFFFFF"/>
          <w:lang w:val="nb-NO"/>
        </w:rPr>
        <w:t xml:space="preserve">Etablering </w:t>
      </w:r>
      <w:r w:rsidR="00644E7F">
        <w:rPr>
          <w:bCs/>
          <w:color w:val="222222"/>
          <w:shd w:val="clear" w:color="auto" w:fill="FFFFFF"/>
          <w:lang w:val="nb-NO"/>
        </w:rPr>
        <w:t xml:space="preserve">av et </w:t>
      </w:r>
      <w:r w:rsidR="003A555D" w:rsidRPr="006B631C">
        <w:rPr>
          <w:bCs/>
          <w:color w:val="222222"/>
          <w:shd w:val="clear" w:color="auto" w:fill="FFFFFF"/>
          <w:lang w:val="nb-NO"/>
        </w:rPr>
        <w:t xml:space="preserve">program mellom </w:t>
      </w:r>
      <w:r w:rsidR="005F4DE5">
        <w:rPr>
          <w:bCs/>
          <w:color w:val="222222"/>
          <w:shd w:val="clear" w:color="auto" w:fill="FFFFFF"/>
          <w:lang w:val="nb-NO"/>
        </w:rPr>
        <w:t>NSPA</w:t>
      </w:r>
      <w:r w:rsidR="00644E7F">
        <w:rPr>
          <w:bCs/>
          <w:color w:val="222222"/>
          <w:shd w:val="clear" w:color="auto" w:fill="FFFFFF"/>
          <w:lang w:val="nb-NO"/>
        </w:rPr>
        <w:t xml:space="preserve"> fylkene</w:t>
      </w:r>
      <w:r w:rsidR="003A555D" w:rsidRPr="006B631C">
        <w:rPr>
          <w:bCs/>
          <w:color w:val="222222"/>
          <w:shd w:val="clear" w:color="auto" w:fill="FFFFFF"/>
          <w:lang w:val="nb-NO"/>
        </w:rPr>
        <w:t xml:space="preserve">, som </w:t>
      </w:r>
      <w:r w:rsidR="00644E7F">
        <w:rPr>
          <w:bCs/>
          <w:color w:val="222222"/>
          <w:shd w:val="clear" w:color="auto" w:fill="FFFFFF"/>
          <w:lang w:val="nb-NO"/>
        </w:rPr>
        <w:t>også er</w:t>
      </w:r>
      <w:r w:rsidR="003A555D" w:rsidRPr="006B631C">
        <w:rPr>
          <w:bCs/>
          <w:color w:val="222222"/>
          <w:shd w:val="clear" w:color="auto" w:fill="FFFFFF"/>
          <w:lang w:val="nb-NO"/>
        </w:rPr>
        <w:t xml:space="preserve"> integrert </w:t>
      </w:r>
      <w:r w:rsidR="00B87677" w:rsidRPr="006B631C">
        <w:rPr>
          <w:bCs/>
          <w:color w:val="222222"/>
          <w:shd w:val="clear" w:color="auto" w:fill="FFFFFF"/>
          <w:lang w:val="nb-NO"/>
        </w:rPr>
        <w:t>i</w:t>
      </w:r>
      <w:r w:rsidR="003A555D" w:rsidRPr="006B631C">
        <w:rPr>
          <w:bCs/>
          <w:color w:val="222222"/>
          <w:shd w:val="clear" w:color="auto" w:fill="FFFFFF"/>
          <w:lang w:val="nb-NO"/>
        </w:rPr>
        <w:t xml:space="preserve"> nasjonal politikk og </w:t>
      </w:r>
      <w:r w:rsidR="00644E7F">
        <w:rPr>
          <w:bCs/>
          <w:color w:val="222222"/>
          <w:shd w:val="clear" w:color="auto" w:fill="FFFFFF"/>
          <w:lang w:val="nb-NO"/>
        </w:rPr>
        <w:t xml:space="preserve">som adresserer </w:t>
      </w:r>
      <w:r w:rsidR="003A555D" w:rsidRPr="006B631C">
        <w:rPr>
          <w:bCs/>
          <w:color w:val="222222"/>
          <w:shd w:val="clear" w:color="auto" w:fill="FFFFFF"/>
          <w:lang w:val="nb-NO"/>
        </w:rPr>
        <w:t xml:space="preserve">felles muligheter og utfordringer, som forbedring av </w:t>
      </w:r>
      <w:r w:rsidR="00644E7F">
        <w:rPr>
          <w:bCs/>
          <w:color w:val="222222"/>
          <w:shd w:val="clear" w:color="auto" w:fill="FFFFFF"/>
          <w:lang w:val="nb-NO"/>
        </w:rPr>
        <w:t xml:space="preserve">øst-vest </w:t>
      </w:r>
      <w:r w:rsidR="003A555D" w:rsidRPr="006B631C">
        <w:rPr>
          <w:bCs/>
          <w:color w:val="222222"/>
          <w:shd w:val="clear" w:color="auto" w:fill="FFFFFF"/>
          <w:lang w:val="nb-NO"/>
        </w:rPr>
        <w:t xml:space="preserve">transportforbindelser, </w:t>
      </w:r>
      <w:r w:rsidR="00644E7F">
        <w:rPr>
          <w:bCs/>
          <w:color w:val="222222"/>
          <w:shd w:val="clear" w:color="auto" w:fill="FFFFFF"/>
          <w:lang w:val="nb-NO"/>
        </w:rPr>
        <w:t>redusere flaskehalser innen arbeidsmobilitet</w:t>
      </w:r>
      <w:r w:rsidR="00AE49FC">
        <w:rPr>
          <w:bCs/>
          <w:color w:val="222222"/>
          <w:shd w:val="clear" w:color="auto" w:fill="FFFFFF"/>
          <w:lang w:val="nb-NO"/>
        </w:rPr>
        <w:t xml:space="preserve">, adressere hindringer når det gjelder næringsutvikling som tilgang til finansiering og øke bruken av </w:t>
      </w:r>
      <w:r w:rsidR="008B2CE3" w:rsidRPr="006B631C">
        <w:rPr>
          <w:bCs/>
          <w:color w:val="222222"/>
          <w:shd w:val="clear" w:color="auto" w:fill="FFFFFF"/>
          <w:lang w:val="nb-NO"/>
        </w:rPr>
        <w:t>e-tek</w:t>
      </w:r>
      <w:r w:rsidR="00AE49FC">
        <w:rPr>
          <w:bCs/>
          <w:color w:val="222222"/>
          <w:shd w:val="clear" w:color="auto" w:fill="FFFFFF"/>
          <w:lang w:val="nb-NO"/>
        </w:rPr>
        <w:t>nologier ved tjenesteyting</w:t>
      </w:r>
      <w:r w:rsidR="008B2CE3" w:rsidRPr="006B631C">
        <w:rPr>
          <w:bCs/>
          <w:color w:val="222222"/>
          <w:shd w:val="clear" w:color="auto" w:fill="FFFFFF"/>
          <w:lang w:val="nb-NO"/>
        </w:rPr>
        <w:t>.</w:t>
      </w:r>
    </w:p>
    <w:p w:rsidR="00AE49FC" w:rsidRPr="00AE49FC" w:rsidRDefault="00AE49FC" w:rsidP="00AE49FC">
      <w:pPr>
        <w:pStyle w:val="Listeavsnitt"/>
        <w:ind w:left="1080"/>
        <w:jc w:val="both"/>
        <w:rPr>
          <w:bCs/>
          <w:color w:val="222222"/>
          <w:shd w:val="clear" w:color="auto" w:fill="FFFFFF"/>
          <w:lang w:val="nb-NO"/>
        </w:rPr>
      </w:pPr>
    </w:p>
    <w:p w:rsidR="00264C43" w:rsidRPr="006B631C" w:rsidRDefault="00264C43" w:rsidP="00EE5C02">
      <w:pPr>
        <w:jc w:val="both"/>
        <w:rPr>
          <w:rFonts w:ascii="Times New Roman" w:hAnsi="Times New Roman" w:cs="Times New Roman"/>
          <w:b/>
          <w:bCs/>
          <w:i/>
          <w:color w:val="222222"/>
          <w:sz w:val="28"/>
          <w:szCs w:val="24"/>
          <w:shd w:val="clear" w:color="auto" w:fill="FFFFFF"/>
          <w:lang w:val="nb-NO"/>
        </w:rPr>
      </w:pPr>
      <w:r w:rsidRPr="006B631C">
        <w:rPr>
          <w:rFonts w:ascii="Times New Roman" w:hAnsi="Times New Roman" w:cs="Times New Roman"/>
          <w:b/>
          <w:bCs/>
          <w:i/>
          <w:color w:val="222222"/>
          <w:sz w:val="28"/>
          <w:szCs w:val="24"/>
          <w:shd w:val="clear" w:color="auto" w:fill="FFFFFF"/>
          <w:lang w:val="nb-NO"/>
        </w:rPr>
        <w:t>På nasjonalt nivå</w:t>
      </w:r>
    </w:p>
    <w:p w:rsidR="00840855" w:rsidRPr="006B631C" w:rsidRDefault="00AE49FC" w:rsidP="006B631C">
      <w:pPr>
        <w:pStyle w:val="Listeavsnitt"/>
        <w:numPr>
          <w:ilvl w:val="0"/>
          <w:numId w:val="2"/>
        </w:numPr>
        <w:jc w:val="both"/>
        <w:rPr>
          <w:bCs/>
          <w:color w:val="222222"/>
          <w:shd w:val="clear" w:color="auto" w:fill="FFFFFF"/>
          <w:lang w:val="nb-NO"/>
        </w:rPr>
      </w:pPr>
      <w:r>
        <w:rPr>
          <w:bCs/>
          <w:color w:val="222222"/>
          <w:shd w:val="clear" w:color="auto" w:fill="FFFFFF"/>
          <w:lang w:val="nb-NO"/>
        </w:rPr>
        <w:t>Styrke mekanismene</w:t>
      </w:r>
      <w:r w:rsidR="009F565F">
        <w:rPr>
          <w:bCs/>
          <w:color w:val="222222"/>
          <w:shd w:val="clear" w:color="auto" w:fill="FFFFFF"/>
          <w:lang w:val="nb-NO"/>
        </w:rPr>
        <w:t xml:space="preserve"> når det gjelder</w:t>
      </w:r>
      <w:r w:rsidR="00264C43" w:rsidRPr="006B631C">
        <w:rPr>
          <w:bCs/>
          <w:color w:val="222222"/>
          <w:shd w:val="clear" w:color="auto" w:fill="FFFFFF"/>
          <w:lang w:val="nb-NO"/>
        </w:rPr>
        <w:t xml:space="preserve"> </w:t>
      </w:r>
      <w:r w:rsidR="00C042B8">
        <w:rPr>
          <w:bCs/>
          <w:color w:val="222222"/>
          <w:shd w:val="clear" w:color="auto" w:fill="FFFFFF"/>
          <w:lang w:val="nb-NO"/>
        </w:rPr>
        <w:t>å</w:t>
      </w:r>
      <w:r w:rsidR="00264C43" w:rsidRPr="006B631C">
        <w:rPr>
          <w:bCs/>
          <w:color w:val="222222"/>
          <w:shd w:val="clear" w:color="auto" w:fill="FFFFFF"/>
          <w:lang w:val="nb-NO"/>
        </w:rPr>
        <w:t xml:space="preserve"> bedre</w:t>
      </w:r>
      <w:r w:rsidR="00C042B8">
        <w:rPr>
          <w:bCs/>
          <w:color w:val="222222"/>
          <w:shd w:val="clear" w:color="auto" w:fill="FFFFFF"/>
          <w:lang w:val="nb-NO"/>
        </w:rPr>
        <w:t xml:space="preserve"> skreddersy og integrere nasjonal sektorpolitikk med de spesifikke behovene og vilkårene som gjelder for </w:t>
      </w:r>
      <w:r w:rsidR="005F4DE5">
        <w:rPr>
          <w:bCs/>
          <w:color w:val="222222"/>
          <w:shd w:val="clear" w:color="auto" w:fill="FFFFFF"/>
          <w:lang w:val="nb-NO"/>
        </w:rPr>
        <w:t>NSPA</w:t>
      </w:r>
      <w:r w:rsidR="00C042B8">
        <w:rPr>
          <w:bCs/>
          <w:color w:val="222222"/>
          <w:shd w:val="clear" w:color="auto" w:fill="FFFFFF"/>
          <w:lang w:val="nb-NO"/>
        </w:rPr>
        <w:t xml:space="preserve"> fylkene</w:t>
      </w:r>
      <w:r w:rsidR="00264C43" w:rsidRPr="006B631C">
        <w:rPr>
          <w:bCs/>
          <w:color w:val="222222"/>
          <w:shd w:val="clear" w:color="auto" w:fill="FFFFFF"/>
          <w:lang w:val="nb-NO"/>
        </w:rPr>
        <w:t>, spesielt i forhold til kunnskap, innovasjon, handel</w:t>
      </w:r>
      <w:r w:rsidR="00ED3B9C" w:rsidRPr="006B631C">
        <w:rPr>
          <w:bCs/>
          <w:color w:val="222222"/>
          <w:shd w:val="clear" w:color="auto" w:fill="FFFFFF"/>
          <w:lang w:val="nb-NO"/>
        </w:rPr>
        <w:t>,</w:t>
      </w:r>
      <w:r w:rsidR="002F1022">
        <w:rPr>
          <w:bCs/>
          <w:color w:val="222222"/>
          <w:shd w:val="clear" w:color="auto" w:fill="FFFFFF"/>
          <w:lang w:val="nb-NO"/>
        </w:rPr>
        <w:t xml:space="preserve"> næring, transport og digital</w:t>
      </w:r>
      <w:r w:rsidR="00264C43" w:rsidRPr="006B631C">
        <w:rPr>
          <w:bCs/>
          <w:color w:val="222222"/>
          <w:shd w:val="clear" w:color="auto" w:fill="FFFFFF"/>
          <w:lang w:val="nb-NO"/>
        </w:rPr>
        <w:t xml:space="preserve"> infrastruktur. Når det gjelder Finland og Sverige</w:t>
      </w:r>
      <w:r w:rsidR="00ED3B9C" w:rsidRPr="006B631C">
        <w:rPr>
          <w:bCs/>
          <w:color w:val="222222"/>
          <w:shd w:val="clear" w:color="auto" w:fill="FFFFFF"/>
          <w:lang w:val="nb-NO"/>
        </w:rPr>
        <w:t xml:space="preserve">, </w:t>
      </w:r>
      <w:r w:rsidR="00523598">
        <w:rPr>
          <w:bCs/>
          <w:color w:val="222222"/>
          <w:shd w:val="clear" w:color="auto" w:fill="FFFFFF"/>
          <w:lang w:val="nb-NO"/>
        </w:rPr>
        <w:t xml:space="preserve">inkluderer dette også en sterkere </w:t>
      </w:r>
      <w:r w:rsidR="00123C30">
        <w:rPr>
          <w:bCs/>
          <w:color w:val="222222"/>
          <w:shd w:val="clear" w:color="auto" w:fill="FFFFFF"/>
          <w:lang w:val="nb-NO"/>
        </w:rPr>
        <w:t>rol</w:t>
      </w:r>
      <w:r w:rsidR="00523598">
        <w:rPr>
          <w:bCs/>
          <w:color w:val="222222"/>
          <w:shd w:val="clear" w:color="auto" w:fill="FFFFFF"/>
          <w:lang w:val="nb-NO"/>
        </w:rPr>
        <w:t>l</w:t>
      </w:r>
      <w:r w:rsidR="00123C30">
        <w:rPr>
          <w:bCs/>
          <w:color w:val="222222"/>
          <w:shd w:val="clear" w:color="auto" w:fill="FFFFFF"/>
          <w:lang w:val="nb-NO"/>
        </w:rPr>
        <w:t>e</w:t>
      </w:r>
      <w:r w:rsidR="00523598">
        <w:rPr>
          <w:bCs/>
          <w:color w:val="222222"/>
          <w:shd w:val="clear" w:color="auto" w:fill="FFFFFF"/>
          <w:lang w:val="nb-NO"/>
        </w:rPr>
        <w:t xml:space="preserve"> for de nye regionale </w:t>
      </w:r>
      <w:r w:rsidR="00123C30">
        <w:rPr>
          <w:bCs/>
          <w:color w:val="222222"/>
          <w:shd w:val="clear" w:color="auto" w:fill="FFFFFF"/>
          <w:lang w:val="nb-NO"/>
        </w:rPr>
        <w:t>autonome</w:t>
      </w:r>
      <w:r w:rsidR="00C16448">
        <w:rPr>
          <w:bCs/>
          <w:color w:val="222222"/>
          <w:shd w:val="clear" w:color="auto" w:fill="FFFFFF"/>
          <w:lang w:val="nb-NO"/>
        </w:rPr>
        <w:t xml:space="preserve"> enhetene</w:t>
      </w:r>
      <w:r w:rsidR="00523598">
        <w:rPr>
          <w:bCs/>
          <w:color w:val="222222"/>
          <w:shd w:val="clear" w:color="auto" w:fill="FFFFFF"/>
          <w:lang w:val="nb-NO"/>
        </w:rPr>
        <w:t xml:space="preserve"> og fylke</w:t>
      </w:r>
      <w:r w:rsidR="002F1022">
        <w:rPr>
          <w:bCs/>
          <w:color w:val="222222"/>
          <w:shd w:val="clear" w:color="auto" w:fill="FFFFFF"/>
          <w:lang w:val="nb-NO"/>
        </w:rPr>
        <w:t>ne</w:t>
      </w:r>
      <w:r w:rsidR="00264C43" w:rsidRPr="006B631C">
        <w:rPr>
          <w:bCs/>
          <w:color w:val="222222"/>
          <w:shd w:val="clear" w:color="auto" w:fill="FFFFFF"/>
          <w:lang w:val="nb-NO"/>
        </w:rPr>
        <w:t xml:space="preserve"> </w:t>
      </w:r>
      <w:r w:rsidR="00523598">
        <w:rPr>
          <w:bCs/>
          <w:color w:val="222222"/>
          <w:shd w:val="clear" w:color="auto" w:fill="FFFFFF"/>
          <w:lang w:val="nb-NO"/>
        </w:rPr>
        <w:t xml:space="preserve">når det gjelder </w:t>
      </w:r>
      <w:r w:rsidR="00264C43" w:rsidRPr="006B631C">
        <w:rPr>
          <w:bCs/>
          <w:color w:val="222222"/>
          <w:shd w:val="clear" w:color="auto" w:fill="FFFFFF"/>
          <w:lang w:val="nb-NO"/>
        </w:rPr>
        <w:t>koordiner</w:t>
      </w:r>
      <w:r w:rsidR="00C16448">
        <w:rPr>
          <w:bCs/>
          <w:color w:val="222222"/>
          <w:shd w:val="clear" w:color="auto" w:fill="FFFFFF"/>
          <w:lang w:val="nb-NO"/>
        </w:rPr>
        <w:t xml:space="preserve">ing av nasjonale og EUs </w:t>
      </w:r>
      <w:r w:rsidR="00523598">
        <w:rPr>
          <w:bCs/>
          <w:color w:val="222222"/>
          <w:shd w:val="clear" w:color="auto" w:fill="FFFFFF"/>
          <w:lang w:val="nb-NO"/>
        </w:rPr>
        <w:t>regional</w:t>
      </w:r>
      <w:r w:rsidR="00C16448">
        <w:rPr>
          <w:bCs/>
          <w:color w:val="222222"/>
          <w:shd w:val="clear" w:color="auto" w:fill="FFFFFF"/>
          <w:lang w:val="nb-NO"/>
        </w:rPr>
        <w:t>-</w:t>
      </w:r>
      <w:r w:rsidR="00523598">
        <w:rPr>
          <w:bCs/>
          <w:color w:val="222222"/>
          <w:shd w:val="clear" w:color="auto" w:fill="FFFFFF"/>
          <w:lang w:val="nb-NO"/>
        </w:rPr>
        <w:t xml:space="preserve"> </w:t>
      </w:r>
      <w:r w:rsidR="00264C43" w:rsidRPr="006B631C">
        <w:rPr>
          <w:bCs/>
          <w:color w:val="222222"/>
          <w:shd w:val="clear" w:color="auto" w:fill="FFFFFF"/>
          <w:lang w:val="nb-NO"/>
        </w:rPr>
        <w:t>og</w:t>
      </w:r>
      <w:r w:rsidR="00C16448">
        <w:rPr>
          <w:bCs/>
          <w:color w:val="222222"/>
          <w:shd w:val="clear" w:color="auto" w:fill="FFFFFF"/>
          <w:lang w:val="nb-NO"/>
        </w:rPr>
        <w:t xml:space="preserve"> distriktsmidler</w:t>
      </w:r>
      <w:r w:rsidR="00840855" w:rsidRPr="006B631C">
        <w:rPr>
          <w:bCs/>
          <w:color w:val="222222"/>
          <w:shd w:val="clear" w:color="auto" w:fill="FFFFFF"/>
          <w:lang w:val="nb-NO"/>
        </w:rPr>
        <w:t xml:space="preserve">. </w:t>
      </w:r>
    </w:p>
    <w:p w:rsidR="00840855" w:rsidRPr="00923F91" w:rsidRDefault="00840855" w:rsidP="00EE5C02">
      <w:pPr>
        <w:pStyle w:val="Listeavsnitt"/>
        <w:jc w:val="both"/>
        <w:rPr>
          <w:bCs/>
          <w:color w:val="222222"/>
          <w:sz w:val="28"/>
          <w:szCs w:val="28"/>
          <w:shd w:val="clear" w:color="auto" w:fill="FFFFFF"/>
          <w:lang w:val="nb-NO"/>
        </w:rPr>
      </w:pPr>
    </w:p>
    <w:p w:rsidR="00840855" w:rsidRPr="006B631C" w:rsidRDefault="00840855" w:rsidP="00EE5C02">
      <w:pPr>
        <w:jc w:val="both"/>
        <w:rPr>
          <w:rFonts w:ascii="Times New Roman" w:hAnsi="Times New Roman" w:cs="Times New Roman"/>
          <w:b/>
          <w:bCs/>
          <w:i/>
          <w:color w:val="222222"/>
          <w:sz w:val="28"/>
          <w:szCs w:val="24"/>
          <w:shd w:val="clear" w:color="auto" w:fill="FFFFFF"/>
          <w:lang w:val="nb-NO"/>
        </w:rPr>
      </w:pPr>
      <w:r w:rsidRPr="006B631C">
        <w:rPr>
          <w:rFonts w:ascii="Times New Roman" w:hAnsi="Times New Roman" w:cs="Times New Roman"/>
          <w:b/>
          <w:bCs/>
          <w:i/>
          <w:color w:val="222222"/>
          <w:sz w:val="28"/>
          <w:szCs w:val="24"/>
          <w:shd w:val="clear" w:color="auto" w:fill="FFFFFF"/>
          <w:lang w:val="nb-NO"/>
        </w:rPr>
        <w:t>P</w:t>
      </w:r>
      <w:r w:rsidR="00B646A6" w:rsidRPr="006B631C">
        <w:rPr>
          <w:rFonts w:ascii="Times New Roman" w:hAnsi="Times New Roman" w:cs="Times New Roman"/>
          <w:b/>
          <w:bCs/>
          <w:i/>
          <w:color w:val="222222"/>
          <w:sz w:val="28"/>
          <w:szCs w:val="24"/>
          <w:shd w:val="clear" w:color="auto" w:fill="FFFFFF"/>
          <w:lang w:val="nb-NO"/>
        </w:rPr>
        <w:t>å</w:t>
      </w:r>
      <w:r w:rsidRPr="006B631C">
        <w:rPr>
          <w:rFonts w:ascii="Times New Roman" w:hAnsi="Times New Roman" w:cs="Times New Roman"/>
          <w:b/>
          <w:bCs/>
          <w:i/>
          <w:color w:val="222222"/>
          <w:sz w:val="28"/>
          <w:szCs w:val="24"/>
          <w:shd w:val="clear" w:color="auto" w:fill="FFFFFF"/>
          <w:lang w:val="nb-NO"/>
        </w:rPr>
        <w:t xml:space="preserve"> regionalt nivå</w:t>
      </w:r>
    </w:p>
    <w:p w:rsidR="005C569C" w:rsidRPr="006B631C" w:rsidRDefault="00C16448" w:rsidP="006B631C">
      <w:pPr>
        <w:pStyle w:val="Listeavsnitt"/>
        <w:numPr>
          <w:ilvl w:val="0"/>
          <w:numId w:val="2"/>
        </w:numPr>
        <w:jc w:val="both"/>
        <w:rPr>
          <w:bCs/>
          <w:color w:val="222222"/>
          <w:shd w:val="clear" w:color="auto" w:fill="FFFFFF"/>
          <w:lang w:val="nb-NO"/>
        </w:rPr>
      </w:pPr>
      <w:r>
        <w:rPr>
          <w:bCs/>
          <w:color w:val="222222"/>
          <w:shd w:val="clear" w:color="auto" w:fill="FFFFFF"/>
          <w:lang w:val="nb-NO"/>
        </w:rPr>
        <w:t>Øke verdiskapningen når det gjelder de absolutte fordelene man har</w:t>
      </w:r>
      <w:r w:rsidR="005C569C" w:rsidRPr="006B631C">
        <w:rPr>
          <w:bCs/>
          <w:color w:val="222222"/>
          <w:shd w:val="clear" w:color="auto" w:fill="FFFFFF"/>
          <w:lang w:val="nb-NO"/>
        </w:rPr>
        <w:t xml:space="preserve"> gjennom bedre samarbeid med små og mellomstore bedrifter </w:t>
      </w:r>
      <w:r w:rsidR="00574128">
        <w:rPr>
          <w:bCs/>
          <w:color w:val="222222"/>
          <w:shd w:val="clear" w:color="auto" w:fill="FFFFFF"/>
          <w:lang w:val="nb-NO"/>
        </w:rPr>
        <w:t xml:space="preserve">gjennom </w:t>
      </w:r>
      <w:r w:rsidR="005C569C" w:rsidRPr="006B631C">
        <w:rPr>
          <w:bCs/>
          <w:color w:val="222222"/>
          <w:shd w:val="clear" w:color="auto" w:fill="FFFFFF"/>
          <w:lang w:val="nb-NO"/>
        </w:rPr>
        <w:t xml:space="preserve">innovasjon og </w:t>
      </w:r>
      <w:r w:rsidR="00574128">
        <w:rPr>
          <w:bCs/>
          <w:color w:val="222222"/>
          <w:shd w:val="clear" w:color="auto" w:fill="FFFFFF"/>
          <w:lang w:val="nb-NO"/>
        </w:rPr>
        <w:t xml:space="preserve">næringsutviklingsprogrammer og gjennom </w:t>
      </w:r>
      <w:r w:rsidR="005C569C" w:rsidRPr="006B631C">
        <w:rPr>
          <w:bCs/>
          <w:color w:val="222222"/>
          <w:shd w:val="clear" w:color="auto" w:fill="FFFFFF"/>
          <w:lang w:val="nb-NO"/>
        </w:rPr>
        <w:t xml:space="preserve">regionalt samarbeid for å øke </w:t>
      </w:r>
      <w:r w:rsidR="002F1022">
        <w:rPr>
          <w:bCs/>
          <w:color w:val="222222"/>
          <w:shd w:val="clear" w:color="auto" w:fill="FFFFFF"/>
          <w:lang w:val="nb-NO"/>
        </w:rPr>
        <w:t>utnyttelsen</w:t>
      </w:r>
      <w:r w:rsidR="005C569C" w:rsidRPr="006B631C">
        <w:rPr>
          <w:bCs/>
          <w:color w:val="222222"/>
          <w:shd w:val="clear" w:color="auto" w:fill="FFFFFF"/>
          <w:lang w:val="nb-NO"/>
        </w:rPr>
        <w:t xml:space="preserve"> av relativt </w:t>
      </w:r>
      <w:r w:rsidR="00574128">
        <w:rPr>
          <w:bCs/>
          <w:color w:val="222222"/>
          <w:shd w:val="clear" w:color="auto" w:fill="FFFFFF"/>
          <w:lang w:val="nb-NO"/>
        </w:rPr>
        <w:t xml:space="preserve">små enheter når det gjelder </w:t>
      </w:r>
      <w:r w:rsidR="005C569C" w:rsidRPr="006B631C">
        <w:rPr>
          <w:bCs/>
          <w:color w:val="222222"/>
          <w:shd w:val="clear" w:color="auto" w:fill="FFFFFF"/>
          <w:lang w:val="nb-NO"/>
        </w:rPr>
        <w:t>forskning og innovasjon.</w:t>
      </w:r>
      <w:r w:rsidR="006B631C">
        <w:rPr>
          <w:bCs/>
          <w:color w:val="222222"/>
          <w:shd w:val="clear" w:color="auto" w:fill="FFFFFF"/>
          <w:lang w:val="nb-NO"/>
        </w:rPr>
        <w:br/>
      </w:r>
    </w:p>
    <w:p w:rsidR="00264C43" w:rsidRPr="006B631C" w:rsidRDefault="00574128" w:rsidP="006B631C">
      <w:pPr>
        <w:pStyle w:val="Listeavsnitt"/>
        <w:numPr>
          <w:ilvl w:val="0"/>
          <w:numId w:val="2"/>
        </w:numPr>
        <w:jc w:val="both"/>
        <w:rPr>
          <w:bCs/>
          <w:color w:val="222222"/>
          <w:shd w:val="clear" w:color="auto" w:fill="FFFFFF"/>
          <w:lang w:val="nb-NO"/>
        </w:rPr>
      </w:pPr>
      <w:r>
        <w:rPr>
          <w:bCs/>
          <w:color w:val="222222"/>
          <w:shd w:val="clear" w:color="auto" w:fill="FFFFFF"/>
          <w:lang w:val="nb-NO"/>
        </w:rPr>
        <w:t>Bedre forbindelsene</w:t>
      </w:r>
      <w:r w:rsidR="00574928">
        <w:rPr>
          <w:bCs/>
          <w:color w:val="222222"/>
          <w:shd w:val="clear" w:color="auto" w:fill="FFFFFF"/>
          <w:lang w:val="nb-NO"/>
        </w:rPr>
        <w:t xml:space="preserve"> til markedene gjennom fortsatt</w:t>
      </w:r>
      <w:r w:rsidR="005C569C" w:rsidRPr="006B631C">
        <w:rPr>
          <w:bCs/>
          <w:color w:val="222222"/>
          <w:shd w:val="clear" w:color="auto" w:fill="FFFFFF"/>
          <w:lang w:val="nb-NO"/>
        </w:rPr>
        <w:t xml:space="preserve"> investeringer i bredbånd</w:t>
      </w:r>
      <w:r w:rsidR="009A69C6">
        <w:rPr>
          <w:bCs/>
          <w:color w:val="222222"/>
          <w:shd w:val="clear" w:color="auto" w:fill="FFFFFF"/>
          <w:lang w:val="nb-NO"/>
        </w:rPr>
        <w:t xml:space="preserve"> samt</w:t>
      </w:r>
      <w:r w:rsidR="00574928">
        <w:rPr>
          <w:bCs/>
          <w:color w:val="222222"/>
          <w:shd w:val="clear" w:color="auto" w:fill="FFFFFF"/>
          <w:lang w:val="nb-NO"/>
        </w:rPr>
        <w:t xml:space="preserve"> styrke øst-vest infrastrukturkoblinger som kan konkurrere</w:t>
      </w:r>
      <w:r w:rsidR="00EB400B" w:rsidRPr="006B631C">
        <w:rPr>
          <w:bCs/>
          <w:color w:val="222222"/>
          <w:shd w:val="clear" w:color="auto" w:fill="FFFFFF"/>
          <w:lang w:val="nb-NO"/>
        </w:rPr>
        <w:t xml:space="preserve"> </w:t>
      </w:r>
      <w:r w:rsidR="005C569C" w:rsidRPr="006B631C">
        <w:rPr>
          <w:bCs/>
          <w:color w:val="222222"/>
          <w:shd w:val="clear" w:color="auto" w:fill="FFFFFF"/>
          <w:lang w:val="nb-NO"/>
        </w:rPr>
        <w:t>med</w:t>
      </w:r>
      <w:r w:rsidR="00574928">
        <w:rPr>
          <w:bCs/>
          <w:color w:val="222222"/>
          <w:shd w:val="clear" w:color="auto" w:fill="FFFFFF"/>
          <w:lang w:val="nb-NO"/>
        </w:rPr>
        <w:t xml:space="preserve"> nord-sør koblinger</w:t>
      </w:r>
      <w:r w:rsidR="005C569C" w:rsidRPr="006B631C">
        <w:rPr>
          <w:bCs/>
          <w:color w:val="222222"/>
          <w:shd w:val="clear" w:color="auto" w:fill="FFFFFF"/>
          <w:lang w:val="nb-NO"/>
        </w:rPr>
        <w:t>.</w:t>
      </w:r>
      <w:r w:rsidR="006B631C">
        <w:rPr>
          <w:bCs/>
          <w:color w:val="222222"/>
          <w:shd w:val="clear" w:color="auto" w:fill="FFFFFF"/>
          <w:lang w:val="nb-NO"/>
        </w:rPr>
        <w:br/>
      </w:r>
    </w:p>
    <w:p w:rsidR="005C569C" w:rsidRPr="006B631C" w:rsidRDefault="00574928" w:rsidP="006B631C">
      <w:pPr>
        <w:pStyle w:val="Listeavsnitt"/>
        <w:numPr>
          <w:ilvl w:val="0"/>
          <w:numId w:val="2"/>
        </w:numPr>
        <w:jc w:val="both"/>
        <w:rPr>
          <w:bCs/>
          <w:color w:val="222222"/>
          <w:shd w:val="clear" w:color="auto" w:fill="FFFFFF"/>
          <w:lang w:val="nb-NO"/>
        </w:rPr>
      </w:pPr>
      <w:r>
        <w:rPr>
          <w:bCs/>
          <w:color w:val="222222"/>
          <w:shd w:val="clear" w:color="auto" w:fill="FFFFFF"/>
          <w:lang w:val="nb-NO"/>
        </w:rPr>
        <w:t xml:space="preserve">Styrke </w:t>
      </w:r>
      <w:r w:rsidR="005C569C" w:rsidRPr="006B631C">
        <w:rPr>
          <w:bCs/>
          <w:color w:val="222222"/>
          <w:shd w:val="clear" w:color="auto" w:fill="FFFFFF"/>
          <w:lang w:val="nb-NO"/>
        </w:rPr>
        <w:t>arbeidsmarked</w:t>
      </w:r>
      <w:r>
        <w:rPr>
          <w:bCs/>
          <w:color w:val="222222"/>
          <w:shd w:val="clear" w:color="auto" w:fill="FFFFFF"/>
          <w:lang w:val="nb-NO"/>
        </w:rPr>
        <w:t>et</w:t>
      </w:r>
      <w:r w:rsidR="005C569C" w:rsidRPr="006B631C">
        <w:rPr>
          <w:bCs/>
          <w:color w:val="222222"/>
          <w:shd w:val="clear" w:color="auto" w:fill="FFFFFF"/>
          <w:lang w:val="nb-NO"/>
        </w:rPr>
        <w:t xml:space="preserve"> og tjeneste</w:t>
      </w:r>
      <w:r>
        <w:rPr>
          <w:bCs/>
          <w:color w:val="222222"/>
          <w:shd w:val="clear" w:color="auto" w:fill="FFFFFF"/>
          <w:lang w:val="nb-NO"/>
        </w:rPr>
        <w:t>yting</w:t>
      </w:r>
      <w:r w:rsidR="005C569C" w:rsidRPr="006B631C">
        <w:rPr>
          <w:bCs/>
          <w:color w:val="222222"/>
          <w:shd w:val="clear" w:color="auto" w:fill="FFFFFF"/>
          <w:lang w:val="nb-NO"/>
        </w:rPr>
        <w:t xml:space="preserve"> gjennom </w:t>
      </w:r>
      <w:r w:rsidR="005949E3">
        <w:rPr>
          <w:bCs/>
          <w:color w:val="222222"/>
          <w:shd w:val="clear" w:color="auto" w:fill="FFFFFF"/>
          <w:lang w:val="nb-NO"/>
        </w:rPr>
        <w:t>bedre samsvar mellom kompetanse</w:t>
      </w:r>
      <w:r w:rsidR="005C569C" w:rsidRPr="006B631C">
        <w:rPr>
          <w:bCs/>
          <w:color w:val="222222"/>
          <w:shd w:val="clear" w:color="auto" w:fill="FFFFFF"/>
          <w:lang w:val="nb-NO"/>
        </w:rPr>
        <w:t xml:space="preserve"> </w:t>
      </w:r>
      <w:r w:rsidR="005949E3">
        <w:rPr>
          <w:bCs/>
          <w:color w:val="222222"/>
          <w:shd w:val="clear" w:color="auto" w:fill="FFFFFF"/>
          <w:lang w:val="nb-NO"/>
        </w:rPr>
        <w:t>og</w:t>
      </w:r>
      <w:r w:rsidR="005C569C" w:rsidRPr="006B631C">
        <w:rPr>
          <w:bCs/>
          <w:color w:val="222222"/>
          <w:shd w:val="clear" w:color="auto" w:fill="FFFFFF"/>
          <w:lang w:val="nb-NO"/>
        </w:rPr>
        <w:t xml:space="preserve"> arbeidsgiverens behov</w:t>
      </w:r>
      <w:r w:rsidR="005949E3">
        <w:rPr>
          <w:bCs/>
          <w:color w:val="222222"/>
          <w:shd w:val="clear" w:color="auto" w:fill="FFFFFF"/>
          <w:lang w:val="nb-NO"/>
        </w:rPr>
        <w:t xml:space="preserve"> og gjennom strategier som tar sikte på</w:t>
      </w:r>
      <w:r w:rsidR="005E6730" w:rsidRPr="006B631C">
        <w:rPr>
          <w:bCs/>
          <w:color w:val="222222"/>
          <w:shd w:val="clear" w:color="auto" w:fill="FFFFFF"/>
          <w:lang w:val="nb-NO"/>
        </w:rPr>
        <w:t xml:space="preserve"> å konsentrere </w:t>
      </w:r>
      <w:r w:rsidR="005949E3">
        <w:rPr>
          <w:bCs/>
          <w:color w:val="222222"/>
          <w:shd w:val="clear" w:color="auto" w:fill="FFFFFF"/>
          <w:lang w:val="nb-NO"/>
        </w:rPr>
        <w:t>befolkning og ressurser i færre</w:t>
      </w:r>
      <w:r w:rsidR="005E6730" w:rsidRPr="006B631C">
        <w:rPr>
          <w:bCs/>
          <w:color w:val="222222"/>
          <w:shd w:val="clear" w:color="auto" w:fill="FFFFFF"/>
          <w:lang w:val="nb-NO"/>
        </w:rPr>
        <w:t xml:space="preserve"> </w:t>
      </w:r>
      <w:r w:rsidR="00EB400B" w:rsidRPr="006B631C">
        <w:rPr>
          <w:bCs/>
          <w:color w:val="222222"/>
          <w:shd w:val="clear" w:color="auto" w:fill="FFFFFF"/>
          <w:lang w:val="nb-NO"/>
        </w:rPr>
        <w:t>tettsteder</w:t>
      </w:r>
      <w:r w:rsidR="005949E3">
        <w:rPr>
          <w:bCs/>
          <w:color w:val="222222"/>
          <w:shd w:val="clear" w:color="auto" w:fill="FFFFFF"/>
          <w:lang w:val="nb-NO"/>
        </w:rPr>
        <w:t>.</w:t>
      </w:r>
      <w:r w:rsidR="005E6730" w:rsidRPr="006B631C">
        <w:rPr>
          <w:bCs/>
          <w:color w:val="222222"/>
          <w:shd w:val="clear" w:color="auto" w:fill="FFFFFF"/>
          <w:lang w:val="nb-NO"/>
        </w:rPr>
        <w:t xml:space="preserve"> </w:t>
      </w:r>
    </w:p>
    <w:p w:rsidR="005E6730" w:rsidRPr="00923F91" w:rsidRDefault="005E6730" w:rsidP="00EE5C02">
      <w:pPr>
        <w:pStyle w:val="Listeavsnitt"/>
        <w:jc w:val="both"/>
        <w:rPr>
          <w:bCs/>
          <w:color w:val="222222"/>
          <w:sz w:val="28"/>
          <w:szCs w:val="28"/>
          <w:shd w:val="clear" w:color="auto" w:fill="FFFFFF"/>
          <w:lang w:val="nb-NO"/>
        </w:rPr>
      </w:pPr>
    </w:p>
    <w:p w:rsidR="003E2AA1" w:rsidRDefault="005949E3" w:rsidP="00EE5C02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Å levere</w:t>
      </w:r>
      <w:r w:rsidR="00CA4E1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 på disse anbefalingene krever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 </w:t>
      </w:r>
      <w:r w:rsidR="00CA4E1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en proaktiv ledelse og en fortsettelse når det gjelder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 felles </w:t>
      </w:r>
      <w:r w:rsidR="00CA4E1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NSPA handlinger overfor</w:t>
      </w:r>
      <w:r w:rsidR="00824EE7" w:rsidRPr="006B63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 xml:space="preserve"> </w:t>
      </w:r>
      <w:r w:rsidR="00CA4E1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EU og nasjonale partnere</w:t>
      </w:r>
      <w:r w:rsidR="00824EE7" w:rsidRPr="006B63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t>.</w:t>
      </w:r>
    </w:p>
    <w:p w:rsidR="003E2AA1" w:rsidRDefault="003E2AA1" w:rsidP="00EE5C02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nb-NO"/>
        </w:rPr>
        <w:sectPr w:rsidR="003E2AA1" w:rsidSect="003E2A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1701" w:header="709" w:footer="709" w:gutter="0"/>
          <w:pgNumType w:start="15"/>
          <w:cols w:space="708"/>
          <w:titlePg/>
          <w:docGrid w:linePitch="360"/>
        </w:sectPr>
      </w:pPr>
    </w:p>
    <w:tbl>
      <w:tblPr>
        <w:tblStyle w:val="Tabellrutenet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6678"/>
      </w:tblGrid>
      <w:tr w:rsidR="003E2AA1" w:rsidRPr="00A631B5" w:rsidTr="003E2AA1">
        <w:trPr>
          <w:jc w:val="right"/>
        </w:trPr>
        <w:tc>
          <w:tcPr>
            <w:tcW w:w="2676" w:type="dxa"/>
          </w:tcPr>
          <w:p w:rsidR="003E2AA1" w:rsidRPr="0027018F" w:rsidRDefault="003E2AA1" w:rsidP="002568FE">
            <w:pPr>
              <w:pStyle w:val="Topptekst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11F68146" wp14:editId="38CA0BBC">
                  <wp:extent cx="1552575" cy="2028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</w:tcPr>
          <w:p w:rsidR="003E2AA1" w:rsidRPr="003E2AA1" w:rsidRDefault="003E2AA1" w:rsidP="003E2AA1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8"/>
                <w:shd w:val="clear" w:color="auto" w:fill="FFFFFF"/>
                <w:lang w:val="en-US"/>
              </w:rPr>
            </w:pPr>
            <w:r w:rsidRPr="003E2AA1">
              <w:rPr>
                <w:rFonts w:ascii="Times New Roman" w:hAnsi="Times New Roman" w:cs="Times New Roman"/>
                <w:bCs/>
                <w:color w:val="222222"/>
                <w:sz w:val="24"/>
                <w:szCs w:val="28"/>
                <w:shd w:val="clear" w:color="auto" w:fill="FFFFFF"/>
                <w:lang w:val="en-US"/>
              </w:rPr>
              <w:t>Fra:</w:t>
            </w:r>
          </w:p>
          <w:p w:rsidR="003E2AA1" w:rsidRDefault="003E2AA1" w:rsidP="003E2AA1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8"/>
                <w:shd w:val="clear" w:color="auto" w:fill="FFFFFF"/>
                <w:lang w:val="en-US"/>
              </w:rPr>
            </w:pPr>
            <w:r w:rsidRPr="003E2AA1">
              <w:rPr>
                <w:rFonts w:ascii="Times New Roman" w:hAnsi="Times New Roman" w:cs="Times New Roman"/>
                <w:bCs/>
                <w:color w:val="222222"/>
                <w:sz w:val="24"/>
                <w:szCs w:val="28"/>
                <w:shd w:val="clear" w:color="auto" w:fill="FFFFFF"/>
                <w:lang w:val="en-US"/>
              </w:rPr>
              <w:t>OECD Territorial Reviews: Northern Sparsely Populated Areas</w:t>
            </w:r>
          </w:p>
          <w:p w:rsidR="003E2AA1" w:rsidRDefault="003E2AA1" w:rsidP="003E2AA1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8"/>
                <w:shd w:val="clear" w:color="auto" w:fill="FFFFFF"/>
                <w:lang w:val="en-US"/>
              </w:rPr>
            </w:pPr>
          </w:p>
          <w:p w:rsidR="003E2AA1" w:rsidRPr="00D16DBA" w:rsidRDefault="00D16DBA" w:rsidP="003E2AA1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8"/>
                <w:shd w:val="clear" w:color="auto" w:fill="FFFFFF"/>
                <w:lang w:val="nb-NO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8"/>
                <w:shd w:val="clear" w:color="auto" w:fill="FFFFFF"/>
                <w:lang w:val="nb-NO"/>
              </w:rPr>
              <w:t>OECD arealoversikt</w:t>
            </w:r>
            <w:r w:rsidRPr="00D16DBA">
              <w:rPr>
                <w:rFonts w:ascii="Times New Roman" w:hAnsi="Times New Roman" w:cs="Times New Roman"/>
                <w:bCs/>
                <w:color w:val="222222"/>
                <w:sz w:val="24"/>
                <w:szCs w:val="28"/>
                <w:shd w:val="clear" w:color="auto" w:fill="FFFFFF"/>
                <w:lang w:val="nb-NO"/>
              </w:rPr>
              <w:t>: det nordlige område med liten folketetthet – NSPA</w:t>
            </w:r>
          </w:p>
          <w:p w:rsidR="003E2AA1" w:rsidRPr="00D16DBA" w:rsidRDefault="003E2AA1" w:rsidP="003E2AA1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8"/>
                <w:shd w:val="clear" w:color="auto" w:fill="FFFFFF"/>
                <w:lang w:val="nb-NO"/>
              </w:rPr>
            </w:pPr>
          </w:p>
          <w:p w:rsidR="003E2AA1" w:rsidRPr="00D16DBA" w:rsidRDefault="003E2AA1" w:rsidP="003E2AA1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8"/>
                <w:shd w:val="clear" w:color="auto" w:fill="FFFFFF"/>
                <w:lang w:val="nb-NO"/>
              </w:rPr>
            </w:pPr>
          </w:p>
          <w:p w:rsidR="003E2AA1" w:rsidRPr="00D16DBA" w:rsidRDefault="003E2AA1" w:rsidP="003E2AA1">
            <w:pPr>
              <w:jc w:val="both"/>
              <w:rPr>
                <w:rFonts w:ascii="Times New Roman" w:hAnsi="Times New Roman" w:cs="Times New Roman"/>
                <w:bCs/>
                <w:color w:val="222222"/>
                <w:szCs w:val="28"/>
                <w:shd w:val="clear" w:color="auto" w:fill="FFFFFF"/>
                <w:lang w:val="nb-NO"/>
              </w:rPr>
            </w:pPr>
            <w:r w:rsidRPr="003E2AA1">
              <w:rPr>
                <w:rFonts w:ascii="Times New Roman" w:hAnsi="Times New Roman" w:cs="Times New Roman"/>
                <w:b/>
                <w:bCs/>
                <w:color w:val="222222"/>
                <w:szCs w:val="28"/>
                <w:shd w:val="clear" w:color="auto" w:fill="FFFFFF"/>
                <w:lang w:val="nb-NO"/>
              </w:rPr>
              <w:t>Tilgang til full tekst</w:t>
            </w:r>
            <w:r w:rsidRPr="003E2AA1">
              <w:rPr>
                <w:rFonts w:ascii="Times New Roman" w:hAnsi="Times New Roman" w:cs="Times New Roman"/>
                <w:bCs/>
                <w:color w:val="222222"/>
                <w:szCs w:val="28"/>
                <w:shd w:val="clear" w:color="auto" w:fill="FFFFFF"/>
                <w:lang w:val="nb-NO"/>
              </w:rPr>
              <w:t xml:space="preserve"> </w:t>
            </w:r>
          </w:p>
          <w:p w:rsidR="003E2AA1" w:rsidRPr="003E2AA1" w:rsidRDefault="006615AC" w:rsidP="003E2AA1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8"/>
                <w:shd w:val="clear" w:color="auto" w:fill="FFFFFF"/>
                <w:lang w:val="nb-NO"/>
              </w:rPr>
            </w:pPr>
            <w:hyperlink r:id="rId14" w:history="1">
              <w:r w:rsidR="003E2AA1" w:rsidRPr="003E2AA1">
                <w:rPr>
                  <w:rStyle w:val="Hyperkobling"/>
                  <w:rFonts w:ascii="Times New Roman" w:hAnsi="Times New Roman" w:cs="Times New Roman"/>
                  <w:bCs/>
                  <w:sz w:val="24"/>
                  <w:szCs w:val="28"/>
                  <w:shd w:val="clear" w:color="auto" w:fill="FFFFFF"/>
                  <w:lang w:val="nb-NO"/>
                </w:rPr>
                <w:t>http://dx.doi.org/10.178/9789264268234-en</w:t>
              </w:r>
            </w:hyperlink>
          </w:p>
          <w:p w:rsidR="003E2AA1" w:rsidRPr="00D16DBA" w:rsidRDefault="003E2AA1" w:rsidP="003E2AA1">
            <w:pPr>
              <w:jc w:val="both"/>
              <w:rPr>
                <w:rFonts w:ascii="Times New Roman" w:hAnsi="Times New Roman" w:cs="Times New Roman"/>
                <w:b/>
                <w:lang w:val="nb-NO"/>
              </w:rPr>
            </w:pPr>
          </w:p>
        </w:tc>
      </w:tr>
    </w:tbl>
    <w:p w:rsidR="003E2AA1" w:rsidRPr="00D16DBA" w:rsidRDefault="00D16DBA" w:rsidP="003E2AA1">
      <w:pPr>
        <w:jc w:val="both"/>
        <w:rPr>
          <w:rFonts w:ascii="Times New Roman" w:hAnsi="Times New Roman" w:cs="Times New Roman"/>
          <w:bCs/>
          <w:color w:val="222222"/>
          <w:sz w:val="24"/>
          <w:szCs w:val="28"/>
          <w:shd w:val="clear" w:color="auto" w:fill="FFFFFF"/>
          <w:lang w:val="nb-NO"/>
        </w:rPr>
      </w:pPr>
      <w:r>
        <w:rPr>
          <w:rFonts w:ascii="Times New Roman" w:hAnsi="Times New Roman" w:cs="Times New Roman"/>
          <w:bCs/>
          <w:noProof/>
          <w:color w:val="222222"/>
          <w:sz w:val="24"/>
          <w:szCs w:val="28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F0431" wp14:editId="3190B4A0">
                <wp:simplePos x="0" y="0"/>
                <wp:positionH relativeFrom="column">
                  <wp:posOffset>-139700</wp:posOffset>
                </wp:positionH>
                <wp:positionV relativeFrom="paragraph">
                  <wp:posOffset>50165</wp:posOffset>
                </wp:positionV>
                <wp:extent cx="6195060" cy="113093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060" cy="1130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F25" w:rsidRPr="00FE1F25" w:rsidRDefault="00FE1F25" w:rsidP="00FE1F2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FE1F2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Siteres</w:t>
                            </w:r>
                            <w:proofErr w:type="spellEnd"/>
                            <w:r w:rsidRPr="00FE1F2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1F2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som</w:t>
                            </w:r>
                            <w:proofErr w:type="spellEnd"/>
                          </w:p>
                          <w:p w:rsidR="00FE1F25" w:rsidRPr="00FE1F25" w:rsidRDefault="00FE1F25" w:rsidP="00FE1F2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FE1F2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OECD (2017)</w:t>
                            </w:r>
                            <w:proofErr w:type="gramStart"/>
                            <w:r w:rsidRPr="00FE1F2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, ”</w:t>
                            </w:r>
                            <w:proofErr w:type="gramEnd"/>
                            <w:r w:rsidRPr="00FE1F2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Executive summary”, in </w:t>
                            </w:r>
                            <w:r w:rsidRPr="00FE1F25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OECD Territorial Reviews: Northern Sparsely Populated Areas, </w:t>
                            </w:r>
                          </w:p>
                          <w:p w:rsidR="00FE1F25" w:rsidRPr="00FE1F25" w:rsidRDefault="00FE1F25" w:rsidP="00FE1F2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FE1F2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OECD Publishing, Paris</w:t>
                            </w:r>
                          </w:p>
                          <w:p w:rsidR="00FE1F25" w:rsidRDefault="00FE1F25" w:rsidP="00FE1F25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FE1F25" w:rsidRDefault="006615AC" w:rsidP="00FE1F25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hyperlink r:id="rId15" w:history="1">
                              <w:r w:rsidR="00FE1F25" w:rsidRPr="009E6054">
                                <w:rPr>
                                  <w:rStyle w:val="Hyperkobling"/>
                                  <w:rFonts w:ascii="Times New Roman" w:hAnsi="Times New Roman" w:cs="Times New Roman"/>
                                  <w:lang w:val="en-US"/>
                                </w:rPr>
                                <w:t>http://dx.doi.org/10.178/9789264268234-3-en</w:t>
                              </w:r>
                            </w:hyperlink>
                            <w:r w:rsidR="00FE1F2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 </w:t>
                            </w:r>
                          </w:p>
                          <w:p w:rsidR="00FE1F25" w:rsidRPr="00FE1F25" w:rsidRDefault="00FE1F25" w:rsidP="00FE1F25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FE1F25" w:rsidRPr="00FE1F25" w:rsidRDefault="00FE1F2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F0431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1pt;margin-top:3.95pt;width:487.8pt;height:8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" fillcolor="#a5a5a5 [2092]" stroked="f" strokeweight=".5pt">
                <v:textbox>
                  <w:txbxContent>
                    <w:p w:rsidR="00FE1F25" w:rsidRPr="00FE1F25" w:rsidRDefault="00FE1F25" w:rsidP="00FE1F2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proofErr w:type="spellStart"/>
                      <w:r w:rsidRPr="00FE1F2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Siteres</w:t>
                      </w:r>
                      <w:proofErr w:type="spellEnd"/>
                      <w:r w:rsidRPr="00FE1F2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FE1F2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som</w:t>
                      </w:r>
                      <w:proofErr w:type="spellEnd"/>
                    </w:p>
                    <w:p w:rsidR="00FE1F25" w:rsidRPr="00FE1F25" w:rsidRDefault="00FE1F25" w:rsidP="00FE1F2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FE1F25">
                        <w:rPr>
                          <w:rFonts w:ascii="Times New Roman" w:hAnsi="Times New Roman" w:cs="Times New Roman"/>
                          <w:lang w:val="en-US"/>
                        </w:rPr>
                        <w:t>OECD (2017)</w:t>
                      </w:r>
                      <w:proofErr w:type="gramStart"/>
                      <w:r w:rsidRPr="00FE1F25">
                        <w:rPr>
                          <w:rFonts w:ascii="Times New Roman" w:hAnsi="Times New Roman" w:cs="Times New Roman"/>
                          <w:lang w:val="en-US"/>
                        </w:rPr>
                        <w:t>, ”</w:t>
                      </w:r>
                      <w:proofErr w:type="gramEnd"/>
                      <w:r w:rsidRPr="00FE1F25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Executive summary”, in </w:t>
                      </w:r>
                      <w:r w:rsidRPr="00FE1F25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OECD Territorial Reviews: Northern Sparsely Populated Areas, </w:t>
                      </w:r>
                    </w:p>
                    <w:p w:rsidR="00FE1F25" w:rsidRPr="00FE1F25" w:rsidRDefault="00FE1F25" w:rsidP="00FE1F2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FE1F25">
                        <w:rPr>
                          <w:rFonts w:ascii="Times New Roman" w:hAnsi="Times New Roman" w:cs="Times New Roman"/>
                          <w:lang w:val="en-US"/>
                        </w:rPr>
                        <w:t>OECD Publishing, Paris</w:t>
                      </w:r>
                    </w:p>
                    <w:p w:rsidR="00FE1F25" w:rsidRDefault="00FE1F25" w:rsidP="00FE1F25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FE1F25" w:rsidRDefault="004F4AE3" w:rsidP="00FE1F25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hyperlink r:id="rId16" w:history="1">
                        <w:r w:rsidR="00FE1F25" w:rsidRPr="009E6054">
                          <w:rPr>
                            <w:rStyle w:val="Hyperkobling"/>
                            <w:rFonts w:ascii="Times New Roman" w:hAnsi="Times New Roman" w:cs="Times New Roman"/>
                            <w:lang w:val="en-US"/>
                          </w:rPr>
                          <w:t>http://dx.doi.org/10.178/9789264268234-3-en</w:t>
                        </w:r>
                      </w:hyperlink>
                      <w:r w:rsidR="00FE1F25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 </w:t>
                      </w:r>
                    </w:p>
                    <w:p w:rsidR="00FE1F25" w:rsidRPr="00FE1F25" w:rsidRDefault="00FE1F25" w:rsidP="00FE1F25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FE1F25" w:rsidRPr="00FE1F25" w:rsidRDefault="00FE1F2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2AA1" w:rsidRPr="00D16DBA" w:rsidRDefault="003E2AA1" w:rsidP="003E2AA1">
      <w:pPr>
        <w:jc w:val="both"/>
        <w:rPr>
          <w:rFonts w:ascii="Times New Roman" w:hAnsi="Times New Roman" w:cs="Times New Roman"/>
          <w:bCs/>
          <w:color w:val="222222"/>
          <w:sz w:val="24"/>
          <w:szCs w:val="28"/>
          <w:shd w:val="clear" w:color="auto" w:fill="FFFFFF"/>
          <w:lang w:val="nb-NO"/>
        </w:rPr>
      </w:pPr>
    </w:p>
    <w:p w:rsidR="003E2AA1" w:rsidRPr="00D16DBA" w:rsidRDefault="003E2AA1" w:rsidP="003E2AA1">
      <w:pPr>
        <w:jc w:val="both"/>
        <w:rPr>
          <w:rFonts w:ascii="Times New Roman" w:hAnsi="Times New Roman" w:cs="Times New Roman"/>
          <w:bCs/>
          <w:color w:val="222222"/>
          <w:sz w:val="24"/>
          <w:szCs w:val="28"/>
          <w:shd w:val="clear" w:color="auto" w:fill="FFFFFF"/>
          <w:lang w:val="en-US"/>
        </w:rPr>
      </w:pPr>
      <w:proofErr w:type="spellStart"/>
      <w:r w:rsidRPr="003E2AA1">
        <w:rPr>
          <w:rFonts w:ascii="Times New Roman" w:hAnsi="Times New Roman" w:cs="Times New Roman"/>
          <w:bCs/>
          <w:color w:val="222222"/>
          <w:sz w:val="24"/>
          <w:szCs w:val="28"/>
          <w:shd w:val="clear" w:color="auto" w:fill="FFFFFF"/>
          <w:lang w:val="en-US"/>
        </w:rPr>
        <w:t>Siteres</w:t>
      </w:r>
      <w:proofErr w:type="spellEnd"/>
      <w:r w:rsidRPr="003E2AA1">
        <w:rPr>
          <w:rFonts w:ascii="Times New Roman" w:hAnsi="Times New Roman" w:cs="Times New Roman"/>
          <w:bCs/>
          <w:color w:val="222222"/>
          <w:sz w:val="24"/>
          <w:szCs w:val="28"/>
          <w:shd w:val="clear" w:color="auto" w:fill="FFFFFF"/>
          <w:lang w:val="en-US"/>
        </w:rPr>
        <w:t xml:space="preserve"> </w:t>
      </w:r>
      <w:proofErr w:type="spellStart"/>
      <w:r w:rsidRPr="003E2AA1">
        <w:rPr>
          <w:rFonts w:ascii="Times New Roman" w:hAnsi="Times New Roman" w:cs="Times New Roman"/>
          <w:bCs/>
          <w:color w:val="222222"/>
          <w:sz w:val="24"/>
          <w:szCs w:val="28"/>
          <w:shd w:val="clear" w:color="auto" w:fill="FFFFFF"/>
          <w:lang w:val="en-US"/>
        </w:rPr>
        <w:t>som</w:t>
      </w:r>
      <w:proofErr w:type="spellEnd"/>
    </w:p>
    <w:p w:rsidR="00AF686C" w:rsidRPr="00D16DBA" w:rsidRDefault="003E2AA1" w:rsidP="00FE1F25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n-US"/>
        </w:rPr>
      </w:pPr>
      <w:r w:rsidRPr="003E2AA1">
        <w:rPr>
          <w:rFonts w:ascii="Times New Roman" w:hAnsi="Times New Roman" w:cs="Times New Roman"/>
          <w:bCs/>
          <w:color w:val="222222"/>
          <w:sz w:val="24"/>
          <w:szCs w:val="28"/>
          <w:shd w:val="clear" w:color="auto" w:fill="FFFFFF"/>
          <w:lang w:val="en-US"/>
        </w:rPr>
        <w:t>OECD (2017)</w:t>
      </w:r>
      <w:proofErr w:type="gramStart"/>
      <w:r w:rsidRPr="003E2AA1">
        <w:rPr>
          <w:rFonts w:ascii="Times New Roman" w:hAnsi="Times New Roman" w:cs="Times New Roman"/>
          <w:bCs/>
          <w:color w:val="222222"/>
          <w:sz w:val="24"/>
          <w:szCs w:val="28"/>
          <w:shd w:val="clear" w:color="auto" w:fill="FFFFFF"/>
          <w:lang w:val="en-US"/>
        </w:rPr>
        <w:t>, ”</w:t>
      </w:r>
      <w:proofErr w:type="gramEnd"/>
      <w:r w:rsidRPr="003E2AA1">
        <w:rPr>
          <w:rFonts w:ascii="Times New Roman" w:hAnsi="Times New Roman" w:cs="Times New Roman"/>
          <w:bCs/>
          <w:color w:val="222222"/>
          <w:sz w:val="24"/>
          <w:szCs w:val="28"/>
          <w:shd w:val="clear" w:color="auto" w:fill="FFFFFF"/>
          <w:lang w:val="en-US"/>
        </w:rPr>
        <w:t xml:space="preserve">Executive summary”, in </w:t>
      </w:r>
      <w:r w:rsidRPr="003E2AA1">
        <w:rPr>
          <w:rFonts w:ascii="Times New Roman" w:hAnsi="Times New Roman" w:cs="Times New Roman"/>
          <w:bCs/>
          <w:i/>
          <w:color w:val="222222"/>
          <w:sz w:val="24"/>
          <w:szCs w:val="28"/>
          <w:shd w:val="clear" w:color="auto" w:fill="FFFFFF"/>
          <w:lang w:val="en-US"/>
        </w:rPr>
        <w:t>OECD</w:t>
      </w:r>
      <w:r w:rsidRPr="003E2AA1">
        <w:rPr>
          <w:rFonts w:ascii="Times New Roman" w:hAnsi="Times New Roman" w:cs="Times New Roman"/>
          <w:bCs/>
          <w:color w:val="222222"/>
          <w:sz w:val="24"/>
          <w:szCs w:val="28"/>
          <w:shd w:val="clear" w:color="auto" w:fill="FFFFFF"/>
          <w:lang w:val="en-US"/>
        </w:rPr>
        <w:t xml:space="preserve"> </w:t>
      </w:r>
      <w:r w:rsidRPr="003E2AA1">
        <w:rPr>
          <w:rFonts w:ascii="Times New Roman" w:hAnsi="Times New Roman" w:cs="Times New Roman"/>
          <w:bCs/>
          <w:i/>
          <w:color w:val="222222"/>
          <w:sz w:val="24"/>
          <w:szCs w:val="28"/>
          <w:shd w:val="clear" w:color="auto" w:fill="FFFFFF"/>
          <w:lang w:val="en-US"/>
        </w:rPr>
        <w:t xml:space="preserve">Territorial Reviews: Northern Sparsely </w:t>
      </w:r>
    </w:p>
    <w:p w:rsidR="00FE1F25" w:rsidRPr="00D16DBA" w:rsidRDefault="00FE1F25" w:rsidP="00EE5C02">
      <w:pPr>
        <w:jc w:val="both"/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</w:pPr>
    </w:p>
    <w:p w:rsidR="001F343D" w:rsidRDefault="001F343D" w:rsidP="00FE1F25">
      <w:pP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</w:pPr>
    </w:p>
    <w:p w:rsidR="00AF686C" w:rsidRDefault="001F343D" w:rsidP="00FE1F25">
      <w:pP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</w:pPr>
      <w:r w:rsidRPr="001F343D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>Generalsekretæren</w:t>
      </w:r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 xml:space="preserve"> i OECD er</w:t>
      </w:r>
      <w:r w:rsidR="00AF686C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 xml:space="preserve"> ansvar</w:t>
      </w:r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>lig</w:t>
      </w:r>
      <w:r w:rsidR="00AF686C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 xml:space="preserve"> for denne publikasjon</w:t>
      </w:r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>en. S</w:t>
      </w:r>
      <w:r w:rsidR="00B53B10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 xml:space="preserve">ynspunkter og argumenter avspeiler </w:t>
      </w:r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>ikke nødvendigvis offisielle synspunkter fra</w:t>
      </w:r>
      <w:r w:rsidR="002B63AA" w:rsidRPr="00425686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 xml:space="preserve"> </w:t>
      </w:r>
      <w:r w:rsidR="00FF1B2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>OECD-</w:t>
      </w:r>
      <w:r w:rsidR="002B63AA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>land</w:t>
      </w:r>
      <w:r w:rsidR="00B53B10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>.</w:t>
      </w:r>
    </w:p>
    <w:p w:rsidR="002B63AA" w:rsidRDefault="00364FE6" w:rsidP="00FE1F25">
      <w:pP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</w:pPr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 xml:space="preserve">Denne dokument og alle </w:t>
      </w:r>
      <w:r w:rsidR="003C17CC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 xml:space="preserve">kart </w:t>
      </w:r>
      <w:r w:rsidR="001F343D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 xml:space="preserve">som </w:t>
      </w:r>
      <w:r w:rsidR="003C17CC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 xml:space="preserve">er </w:t>
      </w:r>
      <w:r w:rsidR="001F343D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>inkludert er</w:t>
      </w:r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 xml:space="preserve"> </w:t>
      </w:r>
      <w:r w:rsidR="003C17CC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 xml:space="preserve">uten partiskhet til status og suverenitet av </w:t>
      </w:r>
      <w:r w:rsidR="001F343D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>noe</w:t>
      </w:r>
      <w:r w:rsidR="00FF1B2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 xml:space="preserve"> område</w:t>
      </w:r>
      <w:r w:rsidR="003C17CC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 xml:space="preserve">, </w:t>
      </w:r>
      <w:r w:rsidR="001F343D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 xml:space="preserve">avgrensing av </w:t>
      </w:r>
      <w:r w:rsidR="00C219DE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>internasjonale grenser eller navn på</w:t>
      </w:r>
      <w:r w:rsidR="00FF1B2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 xml:space="preserve"> områder, byer eller arealer.</w:t>
      </w:r>
    </w:p>
    <w:p w:rsidR="00364FE6" w:rsidRPr="00D16DBA" w:rsidRDefault="00364FE6" w:rsidP="00FE1F25">
      <w:pPr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nb-NO"/>
        </w:rPr>
      </w:pPr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>OECD innhold kan</w:t>
      </w:r>
      <w:r w:rsidR="00C219DE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 xml:space="preserve"> kopieres og lastes ned for eget</w:t>
      </w:r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 xml:space="preserve"> bruk, og </w:t>
      </w:r>
      <w:r w:rsidR="00425686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>utdrag fra OE</w:t>
      </w:r>
      <w:r w:rsidR="00C219DE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>CDs publikasjoner, databaser og</w:t>
      </w:r>
      <w:r w:rsidR="00425686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 xml:space="preserve"> medier kan i</w:t>
      </w:r>
      <w:r w:rsidR="00C219DE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 xml:space="preserve">nkluderes i </w:t>
      </w:r>
      <w:r w:rsidR="00425686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>dokumenter, presentasjoner, blogger</w:t>
      </w:r>
      <w:r w:rsidR="00716C7B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 xml:space="preserve">, nettsider og lærestoff </w:t>
      </w:r>
      <w:r w:rsidR="00C219DE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>så lenge OECD er oppgitt som opphav. Alle søknader om</w:t>
      </w:r>
      <w:r w:rsidR="00716C7B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 xml:space="preserve"> </w:t>
      </w:r>
      <w:r w:rsidR="003C17CC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 xml:space="preserve">offentlig og kommersiell bruk og </w:t>
      </w:r>
      <w:proofErr w:type="spellStart"/>
      <w:r w:rsidR="003C17CC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>oversettelserett</w:t>
      </w:r>
      <w:proofErr w:type="spellEnd"/>
      <w:r w:rsidR="003C17CC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 xml:space="preserve"> skal samtykkes via rights</w:t>
      </w:r>
      <w:r w:rsidR="003C17CC" w:rsidRPr="003C17CC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>@</w:t>
      </w:r>
      <w:r w:rsidR="003C17CC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 xml:space="preserve">oecd.org. Søknader for fotokopi av stoffdeler for offentlig og kommersiell bruk skal sendes til Copyright </w:t>
      </w:r>
      <w:proofErr w:type="spellStart"/>
      <w:r w:rsidR="003C17CC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>Clearence</w:t>
      </w:r>
      <w:proofErr w:type="spellEnd"/>
      <w:r w:rsidR="003C17CC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  <w:t xml:space="preserve"> Center (CCC</w:t>
      </w:r>
      <w:r w:rsidR="003C17CC" w:rsidRPr="00D16DBA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nb-NO"/>
        </w:rPr>
        <w:t xml:space="preserve">) </w:t>
      </w:r>
      <w:hyperlink r:id="rId17" w:history="1">
        <w:r w:rsidR="003C17CC" w:rsidRPr="00D16DBA">
          <w:rPr>
            <w:rStyle w:val="Hyperkobling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  <w:lang w:val="nb-NO"/>
          </w:rPr>
          <w:t>info@copyright.com</w:t>
        </w:r>
      </w:hyperlink>
      <w:r w:rsidR="003C17CC" w:rsidRPr="00D16DBA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nb-NO"/>
        </w:rPr>
        <w:t xml:space="preserve"> eller til Centre </w:t>
      </w:r>
      <w:proofErr w:type="spellStart"/>
      <w:r w:rsidR="003C17CC" w:rsidRPr="00D16DBA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nb-NO"/>
        </w:rPr>
        <w:t>francais</w:t>
      </w:r>
      <w:proofErr w:type="spellEnd"/>
      <w:r w:rsidR="003C17CC" w:rsidRPr="00D16DBA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nb-NO"/>
        </w:rPr>
        <w:t xml:space="preserve"> </w:t>
      </w:r>
      <w:proofErr w:type="spellStart"/>
      <w:r w:rsidR="003C17CC" w:rsidRPr="00D16DBA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nb-NO"/>
        </w:rPr>
        <w:t>d’exploitation</w:t>
      </w:r>
      <w:proofErr w:type="spellEnd"/>
      <w:r w:rsidR="003C17CC" w:rsidRPr="00D16DBA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nb-NO"/>
        </w:rPr>
        <w:t xml:space="preserve"> du </w:t>
      </w:r>
      <w:proofErr w:type="spellStart"/>
      <w:r w:rsidR="003C17CC" w:rsidRPr="00D16DBA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nb-NO"/>
        </w:rPr>
        <w:t>troit</w:t>
      </w:r>
      <w:proofErr w:type="spellEnd"/>
      <w:r w:rsidR="003C17CC" w:rsidRPr="00D16DBA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nb-NO"/>
        </w:rPr>
        <w:t xml:space="preserve"> de </w:t>
      </w:r>
      <w:proofErr w:type="spellStart"/>
      <w:r w:rsidR="003C17CC" w:rsidRPr="00D16DBA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nb-NO"/>
        </w:rPr>
        <w:t>copie</w:t>
      </w:r>
      <w:proofErr w:type="spellEnd"/>
      <w:r w:rsidR="003C17CC" w:rsidRPr="00D16DBA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nb-NO"/>
        </w:rPr>
        <w:t xml:space="preserve"> (CFC) </w:t>
      </w:r>
      <w:hyperlink r:id="rId18" w:history="1">
        <w:r w:rsidR="00FE1F25" w:rsidRPr="00D16DBA">
          <w:rPr>
            <w:rStyle w:val="Hyperkobling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  <w:lang w:val="nb-NO"/>
          </w:rPr>
          <w:t>contact@cfcopies.com</w:t>
        </w:r>
      </w:hyperlink>
    </w:p>
    <w:p w:rsidR="00FE1F25" w:rsidRDefault="00FE1F25" w:rsidP="00FE1F25">
      <w:pP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</w:pPr>
    </w:p>
    <w:p w:rsidR="00FE1F25" w:rsidRPr="003C17CC" w:rsidRDefault="00FE1F25" w:rsidP="00FE1F25">
      <w:pP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345C7F66" wp14:editId="4743C5F8">
            <wp:extent cx="2028825" cy="542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29C" w:rsidRPr="00AF686C" w:rsidRDefault="00A7429C" w:rsidP="00EE5C02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nb-NO"/>
        </w:rPr>
      </w:pPr>
    </w:p>
    <w:sectPr w:rsidR="00A7429C" w:rsidRPr="00AF686C" w:rsidSect="003E2AA1">
      <w:headerReference w:type="first" r:id="rId20"/>
      <w:pgSz w:w="11906" w:h="16838" w:code="9"/>
      <w:pgMar w:top="1134" w:right="851" w:bottom="1134" w:left="1701" w:header="709" w:footer="709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12" w:rsidRDefault="00CA3F12" w:rsidP="00CA3F12">
      <w:pPr>
        <w:spacing w:after="0" w:line="240" w:lineRule="auto"/>
      </w:pPr>
      <w:r>
        <w:separator/>
      </w:r>
    </w:p>
  </w:endnote>
  <w:endnote w:type="continuationSeparator" w:id="0">
    <w:p w:rsidR="00CA3F12" w:rsidRDefault="00CA3F12" w:rsidP="00CA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A1" w:rsidRDefault="003E2AA1" w:rsidP="003E2AA1">
    <w:pPr>
      <w:pStyle w:val="Bunntekst"/>
      <w:jc w:val="right"/>
    </w:pPr>
    <w:r>
      <w:rPr>
        <w:noProof/>
        <w:lang w:val="nb-NO" w:eastAsia="nb-NO"/>
      </w:rPr>
      <w:drawing>
        <wp:inline distT="0" distB="0" distL="0" distR="0" wp14:anchorId="1286D44B" wp14:editId="598B0E7F">
          <wp:extent cx="4143375" cy="26670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337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A1" w:rsidRDefault="003E2AA1">
    <w:pPr>
      <w:pStyle w:val="Bunntekst"/>
    </w:pPr>
    <w:r>
      <w:rPr>
        <w:noProof/>
        <w:lang w:val="nb-NO" w:eastAsia="nb-NO"/>
      </w:rPr>
      <w:drawing>
        <wp:inline distT="0" distB="0" distL="0" distR="0" wp14:anchorId="46B80264" wp14:editId="1C409185">
          <wp:extent cx="4143375" cy="2667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337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A9" w:rsidRDefault="00DD3C7C">
    <w:pPr>
      <w:pStyle w:val="Bunntekst"/>
    </w:pPr>
    <w:r>
      <w:rPr>
        <w:noProof/>
        <w:lang w:val="nb-NO" w:eastAsia="nb-NO"/>
      </w:rPr>
      <w:drawing>
        <wp:inline distT="0" distB="0" distL="0" distR="0" wp14:anchorId="5D741317" wp14:editId="490D3751">
          <wp:extent cx="4143375" cy="266700"/>
          <wp:effectExtent l="0" t="0" r="952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337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12" w:rsidRDefault="00CA3F12" w:rsidP="00CA3F12">
      <w:pPr>
        <w:spacing w:after="0" w:line="240" w:lineRule="auto"/>
      </w:pPr>
      <w:r>
        <w:separator/>
      </w:r>
    </w:p>
  </w:footnote>
  <w:footnote w:type="continuationSeparator" w:id="0">
    <w:p w:rsidR="00CA3F12" w:rsidRDefault="00CA3F12" w:rsidP="00CA3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jc w:val="righ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27018F" w:rsidRPr="0027018F" w:rsidTr="002568FE">
      <w:trPr>
        <w:jc w:val="right"/>
      </w:trPr>
      <w:tc>
        <w:tcPr>
          <w:tcW w:w="9571" w:type="dxa"/>
          <w:tcBorders>
            <w:bottom w:val="single" w:sz="12" w:space="0" w:color="auto"/>
          </w:tcBorders>
        </w:tcPr>
        <w:p w:rsidR="0027018F" w:rsidRPr="0027018F" w:rsidRDefault="0027018F" w:rsidP="0027018F">
          <w:pPr>
            <w:pStyle w:val="Topptekst"/>
            <w:rPr>
              <w:rFonts w:ascii="Times New Roman" w:hAnsi="Times New Roman" w:cs="Times New Roman"/>
              <w:b/>
              <w:lang w:val="en-US"/>
            </w:rPr>
          </w:pPr>
          <w:r>
            <w:rPr>
              <w:rFonts w:ascii="Times New Roman" w:hAnsi="Times New Roman" w:cs="Times New Roman"/>
              <w:b/>
              <w:lang w:val="en-US"/>
            </w:rPr>
            <w:fldChar w:fldCharType="begin"/>
          </w:r>
          <w:r>
            <w:rPr>
              <w:rFonts w:ascii="Times New Roman" w:hAnsi="Times New Roman" w:cs="Times New Roman"/>
              <w:b/>
              <w:lang w:val="en-US"/>
            </w:rPr>
            <w:instrText xml:space="preserve"> PAGE   \* MERGEFORMAT </w:instrText>
          </w:r>
          <w:r>
            <w:rPr>
              <w:rFonts w:ascii="Times New Roman" w:hAnsi="Times New Roman" w:cs="Times New Roman"/>
              <w:b/>
              <w:lang w:val="en-US"/>
            </w:rPr>
            <w:fldChar w:fldCharType="separate"/>
          </w:r>
          <w:r w:rsidR="006615AC">
            <w:rPr>
              <w:rFonts w:ascii="Times New Roman" w:hAnsi="Times New Roman" w:cs="Times New Roman"/>
              <w:b/>
              <w:noProof/>
              <w:lang w:val="en-US"/>
            </w:rPr>
            <w:t>16</w:t>
          </w:r>
          <w:r>
            <w:rPr>
              <w:rFonts w:ascii="Times New Roman" w:hAnsi="Times New Roman" w:cs="Times New Roman"/>
              <w:b/>
              <w:lang w:val="en-US"/>
            </w:rPr>
            <w:fldChar w:fldCharType="end"/>
          </w:r>
          <w:r>
            <w:rPr>
              <w:rFonts w:ascii="Times New Roman" w:hAnsi="Times New Roman" w:cs="Times New Roman"/>
              <w:b/>
              <w:lang w:val="en-US"/>
            </w:rPr>
            <w:t xml:space="preserve"> </w:t>
          </w:r>
          <w:r w:rsidRPr="0025555F">
            <w:rPr>
              <w:rFonts w:ascii="Times New Roman" w:hAnsi="Times New Roman" w:cs="Times New Roman"/>
              <w:lang w:val="en-US"/>
            </w:rPr>
            <w:t xml:space="preserve">- </w:t>
          </w:r>
          <w:r w:rsidRPr="0025555F">
            <w:rPr>
              <w:rFonts w:ascii="Times New Roman" w:hAnsi="Times New Roman" w:cs="Times New Roman"/>
            </w:rPr>
            <w:t>SAMMENDRAG</w:t>
          </w:r>
          <w:r w:rsidRPr="0027018F">
            <w:rPr>
              <w:rFonts w:ascii="Times New Roman" w:hAnsi="Times New Roman" w:cs="Times New Roman"/>
              <w:b/>
              <w:lang w:val="en-US"/>
            </w:rPr>
            <w:t xml:space="preserve"> </w:t>
          </w:r>
        </w:p>
      </w:tc>
    </w:tr>
  </w:tbl>
  <w:p w:rsidR="0027018F" w:rsidRPr="0027018F" w:rsidRDefault="0027018F" w:rsidP="0027018F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jc w:val="righ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CA3F12" w:rsidRPr="0027018F" w:rsidTr="0027018F">
      <w:trPr>
        <w:jc w:val="right"/>
      </w:trPr>
      <w:tc>
        <w:tcPr>
          <w:tcW w:w="9571" w:type="dxa"/>
          <w:tcBorders>
            <w:bottom w:val="single" w:sz="12" w:space="0" w:color="auto"/>
          </w:tcBorders>
        </w:tcPr>
        <w:p w:rsidR="00CA3F12" w:rsidRPr="0027018F" w:rsidRDefault="00CA3F12" w:rsidP="0027018F">
          <w:pPr>
            <w:pStyle w:val="Topptekst"/>
            <w:jc w:val="right"/>
            <w:rPr>
              <w:rFonts w:ascii="Times New Roman" w:hAnsi="Times New Roman" w:cs="Times New Roman"/>
              <w:b/>
              <w:lang w:val="en-US"/>
            </w:rPr>
          </w:pPr>
          <w:r w:rsidRPr="0025555F">
            <w:rPr>
              <w:rFonts w:ascii="Times New Roman" w:hAnsi="Times New Roman" w:cs="Times New Roman"/>
            </w:rPr>
            <w:t>SAMMENDRAG</w:t>
          </w:r>
          <w:r w:rsidRPr="0027018F">
            <w:rPr>
              <w:rFonts w:ascii="Times New Roman" w:hAnsi="Times New Roman" w:cs="Times New Roman"/>
              <w:b/>
              <w:lang w:val="en-US"/>
            </w:rPr>
            <w:t xml:space="preserve"> - </w:t>
          </w:r>
          <w:r w:rsidR="0027018F" w:rsidRPr="0025555F">
            <w:rPr>
              <w:rFonts w:ascii="Times New Roman" w:hAnsi="Times New Roman" w:cs="Times New Roman"/>
              <w:b/>
              <w:lang w:val="en-US"/>
            </w:rPr>
            <w:fldChar w:fldCharType="begin"/>
          </w:r>
          <w:r w:rsidR="0027018F" w:rsidRPr="0025555F">
            <w:rPr>
              <w:rFonts w:ascii="Times New Roman" w:hAnsi="Times New Roman" w:cs="Times New Roman"/>
              <w:b/>
              <w:lang w:val="en-US"/>
            </w:rPr>
            <w:instrText xml:space="preserve"> PAGE   \* MERGEFORMAT </w:instrText>
          </w:r>
          <w:r w:rsidR="0027018F" w:rsidRPr="0025555F">
            <w:rPr>
              <w:rFonts w:ascii="Times New Roman" w:hAnsi="Times New Roman" w:cs="Times New Roman"/>
              <w:b/>
              <w:lang w:val="en-US"/>
            </w:rPr>
            <w:fldChar w:fldCharType="separate"/>
          </w:r>
          <w:r w:rsidR="00B37703">
            <w:rPr>
              <w:rFonts w:ascii="Times New Roman" w:hAnsi="Times New Roman" w:cs="Times New Roman"/>
              <w:b/>
              <w:noProof/>
              <w:lang w:val="en-US"/>
            </w:rPr>
            <w:t>17</w:t>
          </w:r>
          <w:r w:rsidR="0027018F" w:rsidRPr="0025555F">
            <w:rPr>
              <w:rFonts w:ascii="Times New Roman" w:hAnsi="Times New Roman" w:cs="Times New Roman"/>
              <w:b/>
              <w:lang w:val="en-US"/>
            </w:rPr>
            <w:fldChar w:fldCharType="end"/>
          </w:r>
        </w:p>
      </w:tc>
    </w:tr>
  </w:tbl>
  <w:p w:rsidR="00CA3F12" w:rsidRDefault="00CA3F1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jc w:val="righ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3E2AA1" w:rsidRPr="0027018F" w:rsidTr="002568FE">
      <w:trPr>
        <w:jc w:val="right"/>
      </w:trPr>
      <w:tc>
        <w:tcPr>
          <w:tcW w:w="9571" w:type="dxa"/>
          <w:tcBorders>
            <w:bottom w:val="single" w:sz="12" w:space="0" w:color="auto"/>
          </w:tcBorders>
        </w:tcPr>
        <w:p w:rsidR="003E2AA1" w:rsidRPr="0027018F" w:rsidRDefault="003E2AA1" w:rsidP="003E2AA1">
          <w:pPr>
            <w:pStyle w:val="Topptekst"/>
            <w:jc w:val="right"/>
            <w:rPr>
              <w:rFonts w:ascii="Times New Roman" w:hAnsi="Times New Roman" w:cs="Times New Roman"/>
              <w:b/>
              <w:lang w:val="en-US"/>
            </w:rPr>
          </w:pPr>
          <w:r>
            <w:rPr>
              <w:rFonts w:ascii="Times New Roman" w:hAnsi="Times New Roman" w:cs="Times New Roman"/>
              <w:b/>
              <w:lang w:val="en-US"/>
            </w:rPr>
            <w:fldChar w:fldCharType="begin"/>
          </w:r>
          <w:r>
            <w:rPr>
              <w:rFonts w:ascii="Times New Roman" w:hAnsi="Times New Roman" w:cs="Times New Roman"/>
              <w:b/>
              <w:lang w:val="en-US"/>
            </w:rPr>
            <w:instrText xml:space="preserve"> PAGE   \* MERGEFORMAT </w:instrText>
          </w:r>
          <w:r>
            <w:rPr>
              <w:rFonts w:ascii="Times New Roman" w:hAnsi="Times New Roman" w:cs="Times New Roman"/>
              <w:b/>
              <w:lang w:val="en-US"/>
            </w:rPr>
            <w:fldChar w:fldCharType="separate"/>
          </w:r>
          <w:r w:rsidR="006615AC">
            <w:rPr>
              <w:rFonts w:ascii="Times New Roman" w:hAnsi="Times New Roman" w:cs="Times New Roman"/>
              <w:b/>
              <w:noProof/>
              <w:lang w:val="en-US"/>
            </w:rPr>
            <w:t>15</w:t>
          </w:r>
          <w:r>
            <w:rPr>
              <w:rFonts w:ascii="Times New Roman" w:hAnsi="Times New Roman" w:cs="Times New Roman"/>
              <w:b/>
              <w:lang w:val="en-US"/>
            </w:rPr>
            <w:fldChar w:fldCharType="end"/>
          </w:r>
          <w:r>
            <w:rPr>
              <w:rFonts w:ascii="Times New Roman" w:hAnsi="Times New Roman" w:cs="Times New Roman"/>
              <w:b/>
              <w:lang w:val="en-US"/>
            </w:rPr>
            <w:t xml:space="preserve"> </w:t>
          </w:r>
          <w:r w:rsidRPr="0025555F">
            <w:rPr>
              <w:rFonts w:ascii="Times New Roman" w:hAnsi="Times New Roman" w:cs="Times New Roman"/>
              <w:lang w:val="en-US"/>
            </w:rPr>
            <w:t xml:space="preserve">- </w:t>
          </w:r>
          <w:r w:rsidRPr="0025555F">
            <w:rPr>
              <w:rFonts w:ascii="Times New Roman" w:hAnsi="Times New Roman" w:cs="Times New Roman"/>
            </w:rPr>
            <w:t>SAMMENDRAG</w:t>
          </w:r>
          <w:r w:rsidRPr="0027018F">
            <w:rPr>
              <w:rFonts w:ascii="Times New Roman" w:hAnsi="Times New Roman" w:cs="Times New Roman"/>
              <w:b/>
              <w:lang w:val="en-US"/>
            </w:rPr>
            <w:t xml:space="preserve"> </w:t>
          </w:r>
        </w:p>
      </w:tc>
    </w:tr>
  </w:tbl>
  <w:p w:rsidR="003E2AA1" w:rsidRDefault="003E2AA1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A1" w:rsidRDefault="003E2AA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0345"/>
    <w:multiLevelType w:val="hybridMultilevel"/>
    <w:tmpl w:val="9D6CE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1354A7"/>
    <w:multiLevelType w:val="hybridMultilevel"/>
    <w:tmpl w:val="05C6BB32"/>
    <w:lvl w:ilvl="0" w:tplc="CCAEC55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CB"/>
    <w:rsid w:val="000A737B"/>
    <w:rsid w:val="000A74FC"/>
    <w:rsid w:val="000B2D4F"/>
    <w:rsid w:val="000E2CC8"/>
    <w:rsid w:val="00123C30"/>
    <w:rsid w:val="00131FB1"/>
    <w:rsid w:val="001F343D"/>
    <w:rsid w:val="001F75BA"/>
    <w:rsid w:val="00204722"/>
    <w:rsid w:val="0024425D"/>
    <w:rsid w:val="0025555F"/>
    <w:rsid w:val="00264C43"/>
    <w:rsid w:val="0027018F"/>
    <w:rsid w:val="0028605C"/>
    <w:rsid w:val="002A47B5"/>
    <w:rsid w:val="002B63AA"/>
    <w:rsid w:val="002F1022"/>
    <w:rsid w:val="0030326C"/>
    <w:rsid w:val="00335064"/>
    <w:rsid w:val="00341631"/>
    <w:rsid w:val="00364FE6"/>
    <w:rsid w:val="00377716"/>
    <w:rsid w:val="003A555D"/>
    <w:rsid w:val="003C17CC"/>
    <w:rsid w:val="003D09A6"/>
    <w:rsid w:val="003E2AA1"/>
    <w:rsid w:val="003E3BBB"/>
    <w:rsid w:val="00425686"/>
    <w:rsid w:val="00426687"/>
    <w:rsid w:val="00443D35"/>
    <w:rsid w:val="00491124"/>
    <w:rsid w:val="004966CB"/>
    <w:rsid w:val="004D0381"/>
    <w:rsid w:val="005037E5"/>
    <w:rsid w:val="00512971"/>
    <w:rsid w:val="00523598"/>
    <w:rsid w:val="005477FD"/>
    <w:rsid w:val="00574128"/>
    <w:rsid w:val="00574928"/>
    <w:rsid w:val="005949E3"/>
    <w:rsid w:val="005C569C"/>
    <w:rsid w:val="005E6730"/>
    <w:rsid w:val="005F4DE5"/>
    <w:rsid w:val="00644E7F"/>
    <w:rsid w:val="006615AC"/>
    <w:rsid w:val="0066602A"/>
    <w:rsid w:val="006A4D66"/>
    <w:rsid w:val="006B0E76"/>
    <w:rsid w:val="006B3D62"/>
    <w:rsid w:val="006B631C"/>
    <w:rsid w:val="006D1C7E"/>
    <w:rsid w:val="00716C7B"/>
    <w:rsid w:val="00721CE4"/>
    <w:rsid w:val="00735880"/>
    <w:rsid w:val="007752EB"/>
    <w:rsid w:val="007D16DE"/>
    <w:rsid w:val="007E55C2"/>
    <w:rsid w:val="00824EE7"/>
    <w:rsid w:val="00840855"/>
    <w:rsid w:val="0084105A"/>
    <w:rsid w:val="00853DF4"/>
    <w:rsid w:val="008862C1"/>
    <w:rsid w:val="00894449"/>
    <w:rsid w:val="008B2CE3"/>
    <w:rsid w:val="008B4A6C"/>
    <w:rsid w:val="0091032C"/>
    <w:rsid w:val="00910437"/>
    <w:rsid w:val="00923F91"/>
    <w:rsid w:val="0098053D"/>
    <w:rsid w:val="0098578B"/>
    <w:rsid w:val="009A69C6"/>
    <w:rsid w:val="009C2BF9"/>
    <w:rsid w:val="009E3BB2"/>
    <w:rsid w:val="009F565F"/>
    <w:rsid w:val="00A254F9"/>
    <w:rsid w:val="00A2624F"/>
    <w:rsid w:val="00A35208"/>
    <w:rsid w:val="00A53297"/>
    <w:rsid w:val="00A631B5"/>
    <w:rsid w:val="00A7429C"/>
    <w:rsid w:val="00AA4C28"/>
    <w:rsid w:val="00AA574E"/>
    <w:rsid w:val="00AE49FC"/>
    <w:rsid w:val="00AF0919"/>
    <w:rsid w:val="00AF15B5"/>
    <w:rsid w:val="00AF686C"/>
    <w:rsid w:val="00B20A10"/>
    <w:rsid w:val="00B37703"/>
    <w:rsid w:val="00B53B10"/>
    <w:rsid w:val="00B646A6"/>
    <w:rsid w:val="00B67AEC"/>
    <w:rsid w:val="00B87677"/>
    <w:rsid w:val="00B97299"/>
    <w:rsid w:val="00BA0205"/>
    <w:rsid w:val="00BA229B"/>
    <w:rsid w:val="00BB5C54"/>
    <w:rsid w:val="00BC0D51"/>
    <w:rsid w:val="00BE67C5"/>
    <w:rsid w:val="00BF1FFC"/>
    <w:rsid w:val="00BF7A5E"/>
    <w:rsid w:val="00C042B8"/>
    <w:rsid w:val="00C16448"/>
    <w:rsid w:val="00C219DE"/>
    <w:rsid w:val="00C90A88"/>
    <w:rsid w:val="00C955B5"/>
    <w:rsid w:val="00CA3F12"/>
    <w:rsid w:val="00CA4E1B"/>
    <w:rsid w:val="00D140CB"/>
    <w:rsid w:val="00D16DBA"/>
    <w:rsid w:val="00D219E5"/>
    <w:rsid w:val="00D83A64"/>
    <w:rsid w:val="00D849AA"/>
    <w:rsid w:val="00D86DA9"/>
    <w:rsid w:val="00DA1714"/>
    <w:rsid w:val="00DD3C7C"/>
    <w:rsid w:val="00DD745D"/>
    <w:rsid w:val="00E073B1"/>
    <w:rsid w:val="00E674E1"/>
    <w:rsid w:val="00EB400B"/>
    <w:rsid w:val="00EC1322"/>
    <w:rsid w:val="00ED3B9C"/>
    <w:rsid w:val="00EE23E1"/>
    <w:rsid w:val="00EE5C02"/>
    <w:rsid w:val="00EF6E5E"/>
    <w:rsid w:val="00F169D8"/>
    <w:rsid w:val="00F42847"/>
    <w:rsid w:val="00FB5D3D"/>
    <w:rsid w:val="00FD3A44"/>
    <w:rsid w:val="00FD53A8"/>
    <w:rsid w:val="00FE1F25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6B40100-F000-401C-9C46-9CE26E0B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AA1"/>
  </w:style>
  <w:style w:type="paragraph" w:styleId="Overskrift1">
    <w:name w:val="heading 1"/>
    <w:basedOn w:val="Normal"/>
    <w:next w:val="Normal"/>
    <w:link w:val="Overskrift1Tegn"/>
    <w:uiPriority w:val="9"/>
    <w:qFormat/>
    <w:rsid w:val="00A26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262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26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262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theving">
    <w:name w:val="Emphasis"/>
    <w:basedOn w:val="Standardskriftforavsnitt"/>
    <w:uiPriority w:val="20"/>
    <w:qFormat/>
    <w:rsid w:val="00A2624F"/>
    <w:rPr>
      <w:i/>
      <w:iCs/>
    </w:rPr>
  </w:style>
  <w:style w:type="paragraph" w:styleId="Listeavsnitt">
    <w:name w:val="List Paragraph"/>
    <w:basedOn w:val="Normal"/>
    <w:uiPriority w:val="34"/>
    <w:qFormat/>
    <w:rsid w:val="00A262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A7429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568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A3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3F12"/>
  </w:style>
  <w:style w:type="paragraph" w:styleId="Bunntekst">
    <w:name w:val="footer"/>
    <w:basedOn w:val="Normal"/>
    <w:link w:val="BunntekstTegn"/>
    <w:uiPriority w:val="99"/>
    <w:unhideWhenUsed/>
    <w:rsid w:val="00CA3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3F12"/>
  </w:style>
  <w:style w:type="table" w:styleId="Tabellrutenett">
    <w:name w:val="Table Grid"/>
    <w:basedOn w:val="Vanligtabell"/>
    <w:uiPriority w:val="59"/>
    <w:rsid w:val="00CA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yperlink" Target="mailto:contact@cfcopies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info@copyright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178/9789264268234-3-en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dx.doi.org/10.178/9789264268234-3-en" TargetMode="External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dx.doi.org/10.178/9789264268234-e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6347</Characters>
  <Application>Microsoft Office Word</Application>
  <DocSecurity>4</DocSecurity>
  <Lines>52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Marthe Kristin Svensson</cp:lastModifiedBy>
  <cp:revision>2</cp:revision>
  <dcterms:created xsi:type="dcterms:W3CDTF">2017-09-18T09:00:00Z</dcterms:created>
  <dcterms:modified xsi:type="dcterms:W3CDTF">2017-09-18T09:00:00Z</dcterms:modified>
</cp:coreProperties>
</file>